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C4F271" w14:textId="77777777" w:rsidR="0019716D" w:rsidRPr="00AC494E" w:rsidRDefault="00E847CC" w:rsidP="00E847CC">
      <w:pPr>
        <w:pStyle w:val="Topline16Pt"/>
        <w:rPr>
          <w:lang w:val="fr-CH"/>
        </w:rPr>
      </w:pPr>
      <w:r w:rsidRPr="00AC494E">
        <w:rPr>
          <w:lang w:val="fr-CH"/>
        </w:rPr>
        <w:t>Communiqué de presse</w:t>
      </w:r>
    </w:p>
    <w:p w14:paraId="736A9B2D" w14:textId="5727D236" w:rsidR="00E34D3D" w:rsidRPr="00AC494E" w:rsidRDefault="00E34D3D" w:rsidP="00E34D3D">
      <w:pPr>
        <w:pStyle w:val="HeadlineH233Pt"/>
        <w:spacing w:line="240" w:lineRule="auto"/>
        <w:rPr>
          <w:rFonts w:cs="Arial"/>
          <w:lang w:val="fr-CH"/>
        </w:rPr>
      </w:pPr>
      <w:r w:rsidRPr="00AC494E">
        <w:rPr>
          <w:rFonts w:cs="Arial"/>
          <w:lang w:val="fr-CH"/>
        </w:rPr>
        <w:t xml:space="preserve">Liebherr-Components </w:t>
      </w:r>
      <w:r w:rsidR="00931706" w:rsidRPr="00AC494E">
        <w:rPr>
          <w:rFonts w:cs="Arial"/>
          <w:lang w:val="fr-CH"/>
        </w:rPr>
        <w:t xml:space="preserve">présentera des solutions </w:t>
      </w:r>
      <w:r w:rsidR="0059266E" w:rsidRPr="00AC494E">
        <w:rPr>
          <w:rFonts w:cs="Arial"/>
          <w:lang w:val="fr-CH"/>
        </w:rPr>
        <w:t xml:space="preserve">spécialisées </w:t>
      </w:r>
      <w:r w:rsidR="00931706" w:rsidRPr="00AC494E">
        <w:rPr>
          <w:rFonts w:cs="Arial"/>
          <w:lang w:val="fr-CH"/>
        </w:rPr>
        <w:t xml:space="preserve">pour la défense </w:t>
      </w:r>
      <w:r w:rsidR="00262656" w:rsidRPr="00AC494E">
        <w:rPr>
          <w:rFonts w:cs="Arial"/>
          <w:lang w:val="fr-CH"/>
        </w:rPr>
        <w:t xml:space="preserve">au salon </w:t>
      </w:r>
      <w:r w:rsidRPr="00AC494E">
        <w:rPr>
          <w:rFonts w:cs="Arial"/>
          <w:lang w:val="fr-CH"/>
        </w:rPr>
        <w:t>Eurosatory 2026</w:t>
      </w:r>
    </w:p>
    <w:p w14:paraId="65A307FA" w14:textId="77777777" w:rsidR="00B81ED6" w:rsidRPr="001F6805" w:rsidRDefault="00B81ED6" w:rsidP="00B81ED6">
      <w:pPr>
        <w:pStyle w:val="HeadlineH233Pt"/>
        <w:spacing w:before="240" w:after="240" w:line="140" w:lineRule="exact"/>
        <w:rPr>
          <w:rFonts w:ascii="Tahoma" w:hAnsi="Tahoma" w:cs="Tahoma"/>
        </w:rPr>
      </w:pPr>
      <w:r w:rsidRPr="008F5F17">
        <w:rPr>
          <w:rFonts w:ascii="Tahoma" w:hAnsi="Tahoma" w:cs="Tahoma"/>
        </w:rPr>
        <w:t>⸺</w:t>
      </w:r>
    </w:p>
    <w:p w14:paraId="47321403" w14:textId="79F0130E" w:rsidR="00E34D3D" w:rsidRPr="00AC494E" w:rsidRDefault="00A21B87" w:rsidP="00E34D3D">
      <w:pPr>
        <w:pStyle w:val="Bulletpoints11Pt"/>
        <w:numPr>
          <w:ilvl w:val="0"/>
          <w:numId w:val="5"/>
        </w:numPr>
        <w:rPr>
          <w:lang w:val="fr-CH"/>
        </w:rPr>
      </w:pPr>
      <w:r w:rsidRPr="00AC494E">
        <w:rPr>
          <w:lang w:val="fr-CH"/>
        </w:rPr>
        <w:t>Des moteurs haute performance offrent une densité de puissance élevée, une consommation de carburant optimisée et une adaptation flexible à différents profils opérationnels</w:t>
      </w:r>
    </w:p>
    <w:p w14:paraId="51164F37" w14:textId="6E237565" w:rsidR="00E34D3D" w:rsidRPr="00AC494E" w:rsidRDefault="00E34D3D" w:rsidP="00E34D3D">
      <w:pPr>
        <w:pStyle w:val="Bulletpoints11Pt"/>
        <w:numPr>
          <w:ilvl w:val="0"/>
          <w:numId w:val="5"/>
        </w:numPr>
        <w:rPr>
          <w:lang w:val="fr-CH"/>
        </w:rPr>
      </w:pPr>
      <w:r w:rsidRPr="4CE7AC5F">
        <w:rPr>
          <w:lang w:val="fr-CH"/>
        </w:rPr>
        <w:t>Des systèmes de batteries évolutifs</w:t>
      </w:r>
      <w:r w:rsidR="00070A88" w:rsidRPr="4CE7AC5F">
        <w:rPr>
          <w:lang w:val="fr-CH"/>
        </w:rPr>
        <w:t xml:space="preserve">, </w:t>
      </w:r>
      <w:r w:rsidRPr="4CE7AC5F">
        <w:rPr>
          <w:lang w:val="fr-CH"/>
        </w:rPr>
        <w:t xml:space="preserve">des solutions de recharge intelligentes </w:t>
      </w:r>
      <w:r w:rsidR="00070A88" w:rsidRPr="4CE7AC5F">
        <w:rPr>
          <w:lang w:val="fr-CH"/>
        </w:rPr>
        <w:t xml:space="preserve">et </w:t>
      </w:r>
      <w:r w:rsidR="43396EA0" w:rsidRPr="4CE7AC5F">
        <w:rPr>
          <w:lang w:val="fr-CH"/>
        </w:rPr>
        <w:t>des</w:t>
      </w:r>
      <w:r w:rsidR="00BE693A" w:rsidRPr="4CE7AC5F">
        <w:rPr>
          <w:lang w:val="fr-CH"/>
        </w:rPr>
        <w:t xml:space="preserve"> </w:t>
      </w:r>
      <w:r w:rsidR="4E04D79B" w:rsidRPr="4CE7AC5F">
        <w:rPr>
          <w:lang w:val="fr-CH"/>
        </w:rPr>
        <w:t xml:space="preserve">systèmes de </w:t>
      </w:r>
      <w:r w:rsidR="00BE693A" w:rsidRPr="4CE7AC5F">
        <w:rPr>
          <w:lang w:val="fr-CH"/>
        </w:rPr>
        <w:t>stockage d'énergie</w:t>
      </w:r>
      <w:r w:rsidR="00070A88" w:rsidRPr="4CE7AC5F">
        <w:rPr>
          <w:lang w:val="fr-CH"/>
        </w:rPr>
        <w:t xml:space="preserve"> </w:t>
      </w:r>
      <w:r w:rsidR="00BE693A" w:rsidRPr="4CE7AC5F">
        <w:rPr>
          <w:lang w:val="fr-CH"/>
        </w:rPr>
        <w:t xml:space="preserve">garantissent une alimentation électrique fiable et </w:t>
      </w:r>
      <w:r w:rsidRPr="4CE7AC5F">
        <w:rPr>
          <w:lang w:val="fr-CH"/>
        </w:rPr>
        <w:t xml:space="preserve">des processus opérationnels sûrs </w:t>
      </w:r>
    </w:p>
    <w:p w14:paraId="46245E98" w14:textId="15A70A55" w:rsidR="00A21B87" w:rsidRPr="00AC494E" w:rsidRDefault="00A21B87" w:rsidP="00E34D3D">
      <w:pPr>
        <w:pStyle w:val="Bulletpoints11Pt"/>
        <w:numPr>
          <w:ilvl w:val="0"/>
          <w:numId w:val="5"/>
        </w:numPr>
        <w:rPr>
          <w:lang w:val="fr-CH"/>
        </w:rPr>
      </w:pPr>
      <w:r w:rsidRPr="00AC494E">
        <w:rPr>
          <w:lang w:val="fr-CH"/>
        </w:rPr>
        <w:t>Des solutions électroniques</w:t>
      </w:r>
      <w:r w:rsidR="796521C5" w:rsidRPr="00AC494E">
        <w:rPr>
          <w:lang w:val="fr-CH"/>
        </w:rPr>
        <w:t xml:space="preserve"> autonomes et fiables </w:t>
      </w:r>
      <w:r w:rsidR="00AD32AA" w:rsidRPr="00AC494E">
        <w:rPr>
          <w:lang w:val="fr-CH"/>
        </w:rPr>
        <w:t xml:space="preserve">permettent </w:t>
      </w:r>
      <w:r w:rsidRPr="00AC494E">
        <w:rPr>
          <w:lang w:val="fr-CH"/>
        </w:rPr>
        <w:t>un contrôle précis, une puissance de calcul élevée et une fiabilité maximale dans les applications autonomes</w:t>
      </w:r>
    </w:p>
    <w:p w14:paraId="344CA1CD" w14:textId="77777777" w:rsidR="00291A1A" w:rsidRPr="00AC494E" w:rsidRDefault="00291A1A" w:rsidP="00291A1A">
      <w:pPr>
        <w:pStyle w:val="Bulletpoints11Pt"/>
        <w:numPr>
          <w:ilvl w:val="0"/>
          <w:numId w:val="0"/>
        </w:numPr>
        <w:ind w:left="284"/>
        <w:rPr>
          <w:lang w:val="fr-CH"/>
        </w:rPr>
      </w:pPr>
    </w:p>
    <w:p w14:paraId="1051B024" w14:textId="4D730254" w:rsidR="00E030D8" w:rsidRPr="00AC494E" w:rsidRDefault="2A861136" w:rsidP="1599D8A6">
      <w:pPr>
        <w:pStyle w:val="Copytext11Pt"/>
        <w:rPr>
          <w:b/>
          <w:bCs/>
          <w:lang w:val="fr-CH"/>
        </w:rPr>
      </w:pPr>
      <w:r w:rsidRPr="1599D8A6">
        <w:rPr>
          <w:b/>
          <w:bCs/>
          <w:lang w:val="fr-CH"/>
        </w:rPr>
        <w:t xml:space="preserve">Paris </w:t>
      </w:r>
      <w:r w:rsidR="009A3D17" w:rsidRPr="1599D8A6">
        <w:rPr>
          <w:b/>
          <w:bCs/>
          <w:lang w:val="fr-CH"/>
        </w:rPr>
        <w:t>(</w:t>
      </w:r>
      <w:r w:rsidR="1342E53C" w:rsidRPr="1599D8A6">
        <w:rPr>
          <w:b/>
          <w:bCs/>
          <w:lang w:val="fr-CH"/>
        </w:rPr>
        <w:t>France</w:t>
      </w:r>
      <w:r w:rsidR="009A3D17" w:rsidRPr="1599D8A6">
        <w:rPr>
          <w:b/>
          <w:bCs/>
          <w:lang w:val="fr-CH"/>
        </w:rPr>
        <w:t xml:space="preserve">), le 15 </w:t>
      </w:r>
      <w:r w:rsidR="0020421C" w:rsidRPr="1599D8A6">
        <w:rPr>
          <w:b/>
          <w:bCs/>
          <w:lang w:val="fr-CH"/>
        </w:rPr>
        <w:t xml:space="preserve">juin 2026 </w:t>
      </w:r>
      <w:r w:rsidR="009A3D17" w:rsidRPr="1599D8A6">
        <w:rPr>
          <w:b/>
          <w:bCs/>
          <w:lang w:val="fr-CH"/>
        </w:rPr>
        <w:t xml:space="preserve">– </w:t>
      </w:r>
      <w:r w:rsidR="00652DF9" w:rsidRPr="1599D8A6">
        <w:rPr>
          <w:b/>
          <w:bCs/>
          <w:lang w:val="fr-CH"/>
        </w:rPr>
        <w:t>Liebherr</w:t>
      </w:r>
      <w:r w:rsidR="2DE4F1E9" w:rsidRPr="1599D8A6">
        <w:rPr>
          <w:b/>
          <w:bCs/>
          <w:lang w:val="fr-CH"/>
        </w:rPr>
        <w:t xml:space="preserve"> </w:t>
      </w:r>
      <w:r w:rsidR="00652DF9" w:rsidRPr="1599D8A6">
        <w:rPr>
          <w:b/>
          <w:bCs/>
          <w:lang w:val="fr-CH"/>
        </w:rPr>
        <w:t xml:space="preserve">présente </w:t>
      </w:r>
      <w:r w:rsidR="00AB2D78" w:rsidRPr="1599D8A6">
        <w:rPr>
          <w:b/>
          <w:bCs/>
          <w:lang w:val="fr-CH"/>
        </w:rPr>
        <w:t>à Eurosatory 2026 une gamme complète de solutions haute performance en matière d’énergie, d’entraînement et de commande destinées aux applications exigeantes et critiques pour la sécurité. L'accent est mis sur les moteurs à combustion interne, les systèmes de batteries évolutifs, les solutions de recharge intelligentes et les technologies de commande pour les systèmes sans pilote</w:t>
      </w:r>
      <w:r w:rsidR="507F759A" w:rsidRPr="1599D8A6">
        <w:rPr>
          <w:b/>
          <w:bCs/>
          <w:lang w:val="fr-CH"/>
        </w:rPr>
        <w:t xml:space="preserve">, </w:t>
      </w:r>
      <w:r w:rsidR="36C66487" w:rsidRPr="1599D8A6">
        <w:rPr>
          <w:b/>
          <w:bCs/>
          <w:lang w:val="fr-CH"/>
        </w:rPr>
        <w:t xml:space="preserve">l'étroite intégration du développement et de la fabrication sur les sites européens </w:t>
      </w:r>
      <w:r w:rsidR="28A857D0" w:rsidRPr="1599D8A6">
        <w:rPr>
          <w:b/>
          <w:bCs/>
          <w:lang w:val="fr-CH"/>
        </w:rPr>
        <w:t xml:space="preserve">garantissant </w:t>
      </w:r>
      <w:r w:rsidR="7EA41500" w:rsidRPr="1599D8A6">
        <w:rPr>
          <w:b/>
          <w:bCs/>
          <w:lang w:val="fr-CH"/>
        </w:rPr>
        <w:t xml:space="preserve">un niveau élevé de </w:t>
      </w:r>
      <w:r w:rsidR="36C66487" w:rsidRPr="1599D8A6">
        <w:rPr>
          <w:b/>
          <w:bCs/>
          <w:lang w:val="fr-CH"/>
        </w:rPr>
        <w:t>qualité et de fiabilité</w:t>
      </w:r>
      <w:r w:rsidR="28A857D0" w:rsidRPr="1599D8A6">
        <w:rPr>
          <w:b/>
          <w:bCs/>
          <w:lang w:val="fr-CH"/>
        </w:rPr>
        <w:t xml:space="preserve">. </w:t>
      </w:r>
      <w:r w:rsidR="00AB2D78" w:rsidRPr="1599D8A6">
        <w:rPr>
          <w:b/>
          <w:bCs/>
          <w:lang w:val="fr-CH"/>
        </w:rPr>
        <w:t>Toutes les solutions présentées sont conçues pour offrir fiabilité, efficacité et capacité opérationnelle dans des conditions extrêmes.</w:t>
      </w:r>
    </w:p>
    <w:p w14:paraId="570C302C" w14:textId="12089A0A" w:rsidR="00CA26D2" w:rsidRPr="00AC494E" w:rsidRDefault="00CA26D2" w:rsidP="3B9AFD6B">
      <w:pPr>
        <w:pStyle w:val="Copytext11Pt"/>
        <w:rPr>
          <w:b/>
          <w:bCs/>
          <w:lang w:val="fr-CH"/>
        </w:rPr>
      </w:pPr>
      <w:r w:rsidRPr="00AC494E">
        <w:rPr>
          <w:b/>
          <w:bCs/>
          <w:lang w:val="fr-CH"/>
        </w:rPr>
        <w:t xml:space="preserve">Des moteurs haute performance pour </w:t>
      </w:r>
      <w:r w:rsidR="4AC44745" w:rsidRPr="00AC494E">
        <w:rPr>
          <w:b/>
          <w:bCs/>
          <w:lang w:val="fr-CH"/>
        </w:rPr>
        <w:t>des missions de défense</w:t>
      </w:r>
      <w:r w:rsidRPr="00AC494E">
        <w:rPr>
          <w:b/>
          <w:bCs/>
          <w:lang w:val="fr-CH"/>
        </w:rPr>
        <w:t xml:space="preserve"> exigeantes</w:t>
      </w:r>
    </w:p>
    <w:p w14:paraId="09A0FAB4" w14:textId="77777777" w:rsidR="00CA26D2" w:rsidRPr="00AC494E" w:rsidRDefault="00CA26D2" w:rsidP="00CA26D2">
      <w:pPr>
        <w:pStyle w:val="Copytext11Pt"/>
        <w:rPr>
          <w:bCs/>
          <w:lang w:val="fr-CH"/>
        </w:rPr>
      </w:pPr>
      <w:r w:rsidRPr="00AC494E">
        <w:rPr>
          <w:bCs/>
          <w:lang w:val="fr-CH"/>
        </w:rPr>
        <w:t>Avec les moteurs à combustion interne D976 et D9612, Liebherr présente deux solutions de propulsion puissantes destinées aux véhicules militaires et aux applications critiques pour la sécurité.</w:t>
      </w:r>
    </w:p>
    <w:p w14:paraId="7FBE8262" w14:textId="63BBE96F" w:rsidR="00CA26D2" w:rsidRPr="00AC494E" w:rsidRDefault="00CA26D2" w:rsidP="3178B4B9">
      <w:pPr>
        <w:pStyle w:val="Copytext11Pt"/>
        <w:rPr>
          <w:lang w:val="fr-CH"/>
        </w:rPr>
      </w:pPr>
      <w:r w:rsidRPr="00AC494E">
        <w:rPr>
          <w:lang w:val="fr-CH"/>
        </w:rPr>
        <w:t xml:space="preserve">Le D976 est un moteur six cylindres en ligne destiné aux plates-formes tactiques modernes. Avec une cylindrée de 18 litres et une conception modulaire robuste, il offre une densité de puissance élevée, un excellent rendement énergétique et permet une intégration transparente dans </w:t>
      </w:r>
      <w:r w:rsidR="7C4C96EC" w:rsidRPr="00AC494E">
        <w:rPr>
          <w:lang w:val="fr-CH"/>
        </w:rPr>
        <w:t>des plates-formes tactiques lourdes</w:t>
      </w:r>
      <w:r w:rsidRPr="00AC494E">
        <w:rPr>
          <w:lang w:val="fr-CH"/>
        </w:rPr>
        <w:t>. Sa grande fiabilité le rend particulièrement adapté aux applications nécessitant des réserves de puissance supplémentaires, même dans des conditions d’exploitation exigeantes.</w:t>
      </w:r>
    </w:p>
    <w:p w14:paraId="16CAA52E" w14:textId="7CF23C00" w:rsidR="00CA26D2" w:rsidRPr="00AC494E" w:rsidRDefault="00CA26D2" w:rsidP="3178B4B9">
      <w:pPr>
        <w:pStyle w:val="Copytext11Pt"/>
        <w:rPr>
          <w:lang w:val="fr-CH"/>
        </w:rPr>
      </w:pPr>
      <w:r w:rsidRPr="28911BA4">
        <w:rPr>
          <w:lang w:val="fr-CH"/>
        </w:rPr>
        <w:t xml:space="preserve">Le moteur V12 D9612 établit de nouvelles références en matière de performances pour les applications lourdes. Grâce à sa cylindrée </w:t>
      </w:r>
      <w:r w:rsidR="51155AE6" w:rsidRPr="28911BA4">
        <w:rPr>
          <w:rFonts w:eastAsia="Arial" w:cs="Arial"/>
          <w:color w:val="751D20"/>
          <w:szCs w:val="22"/>
          <w:u w:val="single"/>
          <w:lang w:val="fr-CH"/>
        </w:rPr>
        <w:t xml:space="preserve">elevée </w:t>
      </w:r>
      <w:r w:rsidRPr="28911BA4">
        <w:rPr>
          <w:lang w:val="fr-CH"/>
        </w:rPr>
        <w:t xml:space="preserve">et au système d’injection développé par Liebherr, il offre un rapport </w:t>
      </w:r>
      <w:r w:rsidRPr="28911BA4">
        <w:rPr>
          <w:lang w:val="fr-CH"/>
        </w:rPr>
        <w:lastRenderedPageBreak/>
        <w:t xml:space="preserve">puissance/poids optimisé tout en réduisant la consommation de carburant et d’huile. Le système de gestion moteur développé en interne permet également une adaptation flexible à différents profils de charge et </w:t>
      </w:r>
      <w:r w:rsidR="00D40EE0">
        <w:t>à</w:t>
      </w:r>
      <w:r w:rsidR="00AC494E" w:rsidRPr="28911BA4">
        <w:rPr>
          <w:lang w:val="fr-CH"/>
        </w:rPr>
        <w:t xml:space="preserve"> </w:t>
      </w:r>
      <w:r w:rsidRPr="28911BA4">
        <w:rPr>
          <w:lang w:val="fr-CH"/>
        </w:rPr>
        <w:t xml:space="preserve">différents types de carburant, ce qui rend le moteur particulièrement adapté aux </w:t>
      </w:r>
      <w:r w:rsidR="2CE7E218" w:rsidRPr="28911BA4">
        <w:rPr>
          <w:lang w:val="fr-CH"/>
        </w:rPr>
        <w:t>opérations militaires exigeantes</w:t>
      </w:r>
      <w:r w:rsidRPr="28911BA4">
        <w:rPr>
          <w:lang w:val="fr-CH"/>
        </w:rPr>
        <w:t xml:space="preserve">. </w:t>
      </w:r>
    </w:p>
    <w:p w14:paraId="5CE2EBCE" w14:textId="4785A80C" w:rsidR="00CA26D2" w:rsidRPr="00AC494E" w:rsidRDefault="00AB2D78" w:rsidP="00CA26D2">
      <w:pPr>
        <w:pStyle w:val="Copytext11Pt"/>
        <w:rPr>
          <w:b/>
          <w:lang w:val="fr-CH"/>
        </w:rPr>
      </w:pPr>
      <w:r w:rsidRPr="00AC494E">
        <w:rPr>
          <w:b/>
          <w:lang w:val="fr-CH"/>
        </w:rPr>
        <w:t>Systèmes de batteries évolutifs et solutions de recharge</w:t>
      </w:r>
    </w:p>
    <w:p w14:paraId="4FB7A545" w14:textId="55CAB732" w:rsidR="00AB2D78" w:rsidRPr="00AC494E" w:rsidRDefault="00AB2D78" w:rsidP="00CA26D2">
      <w:pPr>
        <w:pStyle w:val="Copytext11Pt"/>
        <w:rPr>
          <w:b/>
          <w:lang w:val="fr-CH"/>
        </w:rPr>
      </w:pPr>
      <w:r w:rsidRPr="00AC494E">
        <w:rPr>
          <w:lang w:val="fr-CH"/>
        </w:rPr>
        <w:t xml:space="preserve">Dans le domaine des systèmes énergétiques, Liebherr présente son concept de batterie sur mesure pour les systèmes sans pilote. Les systèmes de batteries modulaires reposent sur une technologie de cellules moderne et permettent des conceptions compactes à haute densité de puissance. Ils s’adaptent de manière flexible à différentes exigences et se caractérisent par une conception robuste et fiable. Ils sont complétés par des solutions de recharge intelligentes dotées de profils de charge précis, d’une surveillance de la température et de mécanismes de sécurité intégrés. </w:t>
      </w:r>
    </w:p>
    <w:p w14:paraId="7F4592EF" w14:textId="57B78B5E" w:rsidR="00FB104E" w:rsidRPr="00AC494E" w:rsidRDefault="00F21975" w:rsidP="00FB104E">
      <w:pPr>
        <w:pStyle w:val="Copytext11Pt"/>
        <w:rPr>
          <w:b/>
          <w:lang w:val="fr-CH"/>
        </w:rPr>
      </w:pPr>
      <w:r w:rsidRPr="00F21975">
        <w:rPr>
          <w:b/>
          <w:lang w:val="fr-CH"/>
        </w:rPr>
        <w:t>Solutions EMS pour les technologies de commande des systèmes autonomes</w:t>
      </w:r>
    </w:p>
    <w:p w14:paraId="1E4C37CC" w14:textId="31647A8A" w:rsidR="00FB104E" w:rsidRPr="00AC494E" w:rsidRDefault="00FB104E" w:rsidP="00F95F6B">
      <w:pPr>
        <w:pStyle w:val="Copytext11Pt"/>
        <w:rPr>
          <w:bCs/>
          <w:lang w:val="fr-CH"/>
        </w:rPr>
      </w:pPr>
      <w:r w:rsidRPr="00AC494E">
        <w:rPr>
          <w:bCs/>
          <w:lang w:val="fr-CH"/>
        </w:rPr>
        <w:t>Un contrôleur de vol pour drones haute performance vient compléter la gamme. Il a été développé pour des applications autonomes exigeantes et est particulièrement adapté aux processus nécessitant un traitement intensif de données. Le système offre des fonctions de contrôle précises, une intégration logicielle flexible et est fabriqué selon des normes de qualité élevées.</w:t>
      </w:r>
      <w:r w:rsidR="00F21975" w:rsidRPr="0078757E">
        <w:rPr>
          <w:lang w:val="fr-CH"/>
        </w:rPr>
        <w:t xml:space="preserve"> </w:t>
      </w:r>
      <w:r w:rsidR="00F21975">
        <w:rPr>
          <w:bCs/>
          <w:lang w:val="fr-CH"/>
        </w:rPr>
        <w:t>Le</w:t>
      </w:r>
      <w:r w:rsidR="00F21975" w:rsidRPr="00F21975">
        <w:rPr>
          <w:bCs/>
          <w:lang w:val="fr-CH"/>
        </w:rPr>
        <w:t xml:space="preserve"> système offre des fonctions de </w:t>
      </w:r>
      <w:r w:rsidR="00F21975" w:rsidRPr="00AC494E">
        <w:rPr>
          <w:bCs/>
          <w:lang w:val="fr-CH"/>
        </w:rPr>
        <w:t>contrôle</w:t>
      </w:r>
      <w:r w:rsidR="00F21975" w:rsidRPr="00F21975">
        <w:rPr>
          <w:bCs/>
          <w:lang w:val="fr-CH"/>
        </w:rPr>
        <w:t xml:space="preserve"> précises une intégration logicielle flexible</w:t>
      </w:r>
      <w:r w:rsidR="00F21975">
        <w:rPr>
          <w:bCs/>
          <w:lang w:val="fr-CH"/>
        </w:rPr>
        <w:t xml:space="preserve"> </w:t>
      </w:r>
      <w:r w:rsidR="00F21975" w:rsidRPr="00F21975">
        <w:rPr>
          <w:bCs/>
          <w:lang w:val="fr-CH"/>
        </w:rPr>
        <w:t>; il est fabriqué en interne selon des normes de qualité élevées dans le cadre de nos services EMS.</w:t>
      </w:r>
    </w:p>
    <w:p w14:paraId="2A34AAEA" w14:textId="19CAF1E9" w:rsidR="41DACD27" w:rsidRPr="00AC494E" w:rsidRDefault="3C3F3EAC" w:rsidP="4A4BC3C4">
      <w:pPr>
        <w:pStyle w:val="BoilerplateCopyhead9Pt"/>
        <w:rPr>
          <w:lang w:val="fr-CH"/>
        </w:rPr>
      </w:pPr>
      <w:r w:rsidRPr="00AC494E">
        <w:rPr>
          <w:sz w:val="22"/>
          <w:szCs w:val="22"/>
          <w:lang w:val="fr-CH"/>
        </w:rPr>
        <w:t>Stockage d'énergie</w:t>
      </w:r>
      <w:r w:rsidR="41DACD27" w:rsidRPr="00AC494E">
        <w:rPr>
          <w:sz w:val="22"/>
          <w:szCs w:val="22"/>
          <w:lang w:val="fr-CH"/>
        </w:rPr>
        <w:t xml:space="preserve"> mobile pour </w:t>
      </w:r>
      <w:r w:rsidR="00E4C9BF" w:rsidRPr="00AC494E">
        <w:rPr>
          <w:sz w:val="22"/>
          <w:szCs w:val="22"/>
          <w:lang w:val="fr-CH"/>
        </w:rPr>
        <w:t xml:space="preserve">l'autosuffisance énergétique </w:t>
      </w:r>
      <w:r w:rsidR="41DACD27" w:rsidRPr="00AC494E">
        <w:rPr>
          <w:sz w:val="22"/>
          <w:szCs w:val="22"/>
          <w:lang w:val="fr-CH"/>
        </w:rPr>
        <w:t>sur le terrain</w:t>
      </w:r>
    </w:p>
    <w:p w14:paraId="01C7CDDA" w14:textId="4F36475C" w:rsidR="5ADD0178" w:rsidRPr="00AC494E" w:rsidRDefault="5ADD0178" w:rsidP="00E34D3D">
      <w:pPr>
        <w:pStyle w:val="Copytext11Pt"/>
        <w:rPr>
          <w:bCs/>
          <w:lang w:val="fr-CH"/>
        </w:rPr>
      </w:pPr>
      <w:r w:rsidRPr="00AC494E">
        <w:rPr>
          <w:bCs/>
          <w:lang w:val="fr-CH"/>
        </w:rPr>
        <w:t xml:space="preserve">Les systèmes de stockage d'énergie mobiles de Liebherr permettent une alimentation électrique résiliente et indépendante pour les opérations militaires, même dans des environnements où les infrastructures sont limitées ou inexistantes. Le </w:t>
      </w:r>
      <w:r w:rsidR="0062450B" w:rsidRPr="00AC494E">
        <w:rPr>
          <w:bCs/>
          <w:lang w:val="fr-CH"/>
        </w:rPr>
        <w:t>Liduro Power Port (</w:t>
      </w:r>
      <w:r w:rsidRPr="00AC494E">
        <w:rPr>
          <w:bCs/>
          <w:lang w:val="fr-CH"/>
        </w:rPr>
        <w:t>LPO</w:t>
      </w:r>
      <w:r w:rsidR="0062450B" w:rsidRPr="00AC494E">
        <w:rPr>
          <w:bCs/>
          <w:lang w:val="fr-CH"/>
        </w:rPr>
        <w:t>)</w:t>
      </w:r>
      <w:r w:rsidRPr="00AC494E">
        <w:rPr>
          <w:bCs/>
          <w:lang w:val="fr-CH"/>
        </w:rPr>
        <w:t xml:space="preserve"> 600 fournit une alimentation autonome sur le terrain avec des signatures acoustiques et thermiques minimales, améliorant ainsi la capacité opérationnelle.</w:t>
      </w:r>
    </w:p>
    <w:p w14:paraId="1BBD9D4D" w14:textId="4B371E1B" w:rsidR="5ADD0178" w:rsidRPr="00AC494E" w:rsidRDefault="5ADD0178" w:rsidP="41146BA3">
      <w:pPr>
        <w:pStyle w:val="Copytext11Pt"/>
        <w:rPr>
          <w:lang w:val="fr-CH"/>
        </w:rPr>
      </w:pPr>
      <w:r w:rsidRPr="41146BA3">
        <w:rPr>
          <w:lang w:val="fr-CH"/>
        </w:rPr>
        <w:t xml:space="preserve">En fonctionnement hybride avec des générateurs diesel, le système de stockage d’énergie compense de manière fiable les pics de charge, prolonge les durées de fonctionnement et réduit la consommation de carburant ainsi que les trajets d’approvisionnement. Cela réduit l’effort logistique et </w:t>
      </w:r>
      <w:r w:rsidR="20C9BA2F" w:rsidRPr="41146BA3">
        <w:rPr>
          <w:lang w:val="fr-CH"/>
        </w:rPr>
        <w:t>les contraintes pesant sur l</w:t>
      </w:r>
      <w:r w:rsidRPr="41146BA3">
        <w:rPr>
          <w:lang w:val="fr-CH"/>
        </w:rPr>
        <w:t>es unités logistiques, tout en augmentant l’efficacité opérationnelle.</w:t>
      </w:r>
    </w:p>
    <w:p w14:paraId="7D205892" w14:textId="564C4595" w:rsidR="5ADD0178" w:rsidRPr="00AC494E" w:rsidRDefault="5ADD0178" w:rsidP="00E34D3D">
      <w:pPr>
        <w:pStyle w:val="Copytext11Pt"/>
        <w:rPr>
          <w:bCs/>
          <w:lang w:val="fr-CH"/>
        </w:rPr>
      </w:pPr>
      <w:r w:rsidRPr="00AC494E">
        <w:rPr>
          <w:bCs/>
          <w:lang w:val="fr-CH"/>
        </w:rPr>
        <w:t>Grâce à son déploiement rapide, son fonctionnement simple et sa grande robustesse, le LPO 600 est prêt à l’emploi et s’intègre de manière flexible. Ses applications vont des infrastructures temporaires et des systèmes de commandement, de communication et informatiques mobiles et fixes à l’alimentation électrique des systèmes électriques et sans pilote.</w:t>
      </w:r>
    </w:p>
    <w:p w14:paraId="2E84D014" w14:textId="7B4633F2" w:rsidR="00A21B87" w:rsidRPr="00AC494E" w:rsidRDefault="00A21B87" w:rsidP="00A21B87">
      <w:pPr>
        <w:pStyle w:val="BoilerplateCopyhead9Pt"/>
        <w:rPr>
          <w:lang w:val="fr-CH"/>
        </w:rPr>
      </w:pPr>
      <w:r w:rsidRPr="00AC494E">
        <w:rPr>
          <w:lang w:val="fr-CH"/>
        </w:rPr>
        <w:t>À propos de Liebherr-Components AG</w:t>
      </w:r>
    </w:p>
    <w:p w14:paraId="382F6BBA" w14:textId="77777777" w:rsidR="00A21B87" w:rsidRPr="00AC494E" w:rsidRDefault="00A21B87" w:rsidP="00A21B87">
      <w:pPr>
        <w:pStyle w:val="BoilerplateCopyhead9Pt"/>
        <w:rPr>
          <w:b w:val="0"/>
          <w:bCs/>
          <w:lang w:val="fr-CH"/>
        </w:rPr>
      </w:pPr>
      <w:r w:rsidRPr="00AC494E">
        <w:rPr>
          <w:b w:val="0"/>
          <w:bCs/>
          <w:lang w:val="fr-CH"/>
        </w:rPr>
        <w:t xml:space="preserve">Le groupe Liebherr est spécialisé dans ce segment dans le développement, la conception, la fabrication et la remise à neuf de composants haute performance dans le domaine des technologies d’entraînement et de commande mécaniques, hydrauliques </w:t>
      </w:r>
      <w:r w:rsidRPr="00AC494E">
        <w:rPr>
          <w:b w:val="0"/>
          <w:bCs/>
          <w:lang w:val="fr-CH"/>
        </w:rPr>
        <w:lastRenderedPageBreak/>
        <w:t>et électriques. Liebherr-Component Technologies AG, basée à Bulle (Suisse), est chargée de coordonner toutes les activités au sein du segment de produits « Composants ».</w:t>
      </w:r>
    </w:p>
    <w:p w14:paraId="796C7C3E" w14:textId="7994D8BF" w:rsidR="00A21B87" w:rsidRPr="00AC494E" w:rsidRDefault="00A21B87" w:rsidP="00A21B87">
      <w:pPr>
        <w:pStyle w:val="BoilerplateCopyhead9Pt"/>
        <w:rPr>
          <w:b w:val="0"/>
          <w:bCs/>
          <w:lang w:val="fr-CH"/>
        </w:rPr>
      </w:pPr>
      <w:r w:rsidRPr="00AC494E">
        <w:rPr>
          <w:b w:val="0"/>
          <w:bCs/>
          <w:lang w:val="fr-CH"/>
        </w:rPr>
        <w:t xml:space="preserve">La gamme étendue comprend des moteurs à combustion interne, des systèmes d’injection, des unités de commande moteur, des pompes et moteurs à pistons axiaux, des vérins hydrauliques, des roulements à rouleaux de grand diamètre, des boîtes de vitesses et des treuils, des appareillages de commutation, des composants électroniques et d’électronique de puissance, ainsi que des logiciels. </w:t>
      </w:r>
      <w:r w:rsidR="00D40EE0" w:rsidRPr="00D40EE0">
        <w:rPr>
          <w:b w:val="0"/>
          <w:bCs/>
          <w:lang w:val="fr-CH"/>
        </w:rPr>
        <w:t xml:space="preserve">Ces composants de haute qualité sont utilisés dans les grues et les engins de terrassement, dans l’industrie minière, les applications maritimes, les éoliennes, la construction automobile, ainsi que dans les technologies de l’aviation et des transports. </w:t>
      </w:r>
      <w:r w:rsidRPr="00AC494E">
        <w:rPr>
          <w:b w:val="0"/>
          <w:bCs/>
          <w:lang w:val="fr-CH"/>
        </w:rPr>
        <w:t>Les effets de synergie avec les autres segments de produits du groupe Liebherr sont mis à profit pour stimuler un développement technologique continu</w:t>
      </w:r>
    </w:p>
    <w:p w14:paraId="2FD59636" w14:textId="77777777" w:rsidR="00E55540" w:rsidRPr="00AC494E" w:rsidRDefault="00E55540" w:rsidP="00E55540">
      <w:pPr>
        <w:pStyle w:val="BoilerplateCopyhead9Pt"/>
        <w:rPr>
          <w:lang w:val="fr-CH"/>
        </w:rPr>
      </w:pPr>
      <w:r w:rsidRPr="00AC494E">
        <w:rPr>
          <w:lang w:val="fr-CH"/>
        </w:rPr>
        <w:t xml:space="preserve">À propos du groupe Liebherr </w:t>
      </w:r>
    </w:p>
    <w:p w14:paraId="61634979" w14:textId="50FA6998" w:rsidR="00A21B87" w:rsidRPr="00AC494E" w:rsidRDefault="00E55540" w:rsidP="001218B1">
      <w:pPr>
        <w:pStyle w:val="BoilerplateCopytext9Pt"/>
        <w:rPr>
          <w:lang w:val="fr-CH"/>
        </w:rPr>
      </w:pPr>
      <w:r w:rsidRPr="00AC494E">
        <w:rPr>
          <w:lang w:val="fr-CH"/>
        </w:rPr>
        <w:t>Le groupe Liebherr est une entreprise familiale de haute technologie proposant une gamme de produits très diversifiée. L'entreprise figure parmi les plus grands fabricants mondiaux d'engins de chantier. Elle propose toutefois également des produits et des services de haute qualité, axés sur les besoins des utilisateurs, dans de nombreux autres secteurs. Aujourd’hui, le groupe compte plus de 150 entreprises réparties sur tous les continents. En</w:t>
      </w:r>
      <w:r w:rsidR="004035DD" w:rsidRPr="00AC494E">
        <w:rPr>
          <w:lang w:val="fr-CH"/>
        </w:rPr>
        <w:t xml:space="preserve"> 2025</w:t>
      </w:r>
      <w:r w:rsidRPr="00AC494E">
        <w:rPr>
          <w:lang w:val="fr-CH"/>
        </w:rPr>
        <w:t xml:space="preserve">, il employait plus de 55 000 personnes et a généré un chiffre d’affaires consolidé total de plus de 14 milliards d’euros. Liebherr a été fondée par Hans Liebherr en 1949 à Kirchdorf an der Iller, dans le sud de l’Allemagne. Depuis lors, les collaborateurs poursuivent l’objectif d’impressionner leurs clients avec des solutions sophistiquées et de contribuer au progrès technologique. </w:t>
      </w:r>
    </w:p>
    <w:p w14:paraId="62450F59" w14:textId="2D24E136" w:rsidR="009A3D17" w:rsidRDefault="009A3D17" w:rsidP="009A3D17">
      <w:pPr>
        <w:pStyle w:val="Copyhead11Pt"/>
        <w:rPr>
          <w:lang w:val="de-DE"/>
        </w:rPr>
      </w:pPr>
      <w:r w:rsidRPr="008B5AF8">
        <w:rPr>
          <w:lang w:val="de-DE"/>
        </w:rPr>
        <w:t>Images</w:t>
      </w:r>
    </w:p>
    <w:p w14:paraId="1AC51746" w14:textId="77777777" w:rsidR="00A21B87" w:rsidRPr="00F3456E" w:rsidRDefault="00A21B87" w:rsidP="00A21B87">
      <w:pPr>
        <w:rPr>
          <w:lang w:val="en-US"/>
        </w:rPr>
      </w:pPr>
      <w:r>
        <w:rPr>
          <w:noProof/>
          <w:lang w:val="en-US"/>
        </w:rPr>
        <w:drawing>
          <wp:inline distT="0" distB="0" distL="0" distR="0" wp14:anchorId="5C20A088" wp14:editId="5B70463C">
            <wp:extent cx="1970116" cy="1175657"/>
            <wp:effectExtent l="0" t="0" r="0" b="5715"/>
            <wp:docPr id="178846913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469135" name="Image 178846913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989192" cy="1187041"/>
                    </a:xfrm>
                    <a:prstGeom prst="rect">
                      <a:avLst/>
                    </a:prstGeom>
                  </pic:spPr>
                </pic:pic>
              </a:graphicData>
            </a:graphic>
          </wp:inline>
        </w:drawing>
      </w:r>
    </w:p>
    <w:p w14:paraId="161AA708" w14:textId="4F2D92B9" w:rsidR="00A21B87" w:rsidRPr="0078757E" w:rsidRDefault="00CC59F1" w:rsidP="28911BA4">
      <w:pPr>
        <w:pStyle w:val="Caption9Pt"/>
        <w:rPr>
          <w:lang w:val="en-US"/>
        </w:rPr>
      </w:pPr>
      <w:r w:rsidRPr="28911BA4">
        <w:rPr>
          <w:lang w:val="fr-CH"/>
        </w:rPr>
        <w:t>Liebherr-combustion-engine-D9612-defense.jpg</w:t>
      </w:r>
      <w:r w:rsidRPr="0078757E">
        <w:rPr>
          <w:lang w:val="en-US"/>
        </w:rPr>
        <w:br/>
      </w:r>
      <w:r w:rsidR="04FB62C3" w:rsidRPr="28911BA4">
        <w:rPr>
          <w:rFonts w:eastAsia="Arial"/>
          <w:color w:val="000000" w:themeColor="text1"/>
          <w:lang w:val="fr-CH"/>
        </w:rPr>
        <w:t>Ce moteur V12 haute performance offre une puissance et une polyvalence exceptionnelles pour les applications de défense à usage intensif.</w:t>
      </w:r>
    </w:p>
    <w:p w14:paraId="1786A624" w14:textId="77777777" w:rsidR="00A21B87" w:rsidRPr="00F3456E" w:rsidRDefault="00A21B87" w:rsidP="00A21B87">
      <w:pPr>
        <w:rPr>
          <w:lang w:val="en-US"/>
        </w:rPr>
      </w:pPr>
      <w:r>
        <w:rPr>
          <w:noProof/>
          <w:lang w:val="en-US"/>
        </w:rPr>
        <w:drawing>
          <wp:inline distT="0" distB="0" distL="0" distR="0" wp14:anchorId="32F876EB" wp14:editId="03B1EA25">
            <wp:extent cx="1970092" cy="1249491"/>
            <wp:effectExtent l="0" t="0" r="0" b="8255"/>
            <wp:docPr id="717456861"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456861" name="Image 71745686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988863" cy="1261396"/>
                    </a:xfrm>
                    <a:prstGeom prst="rect">
                      <a:avLst/>
                    </a:prstGeom>
                  </pic:spPr>
                </pic:pic>
              </a:graphicData>
            </a:graphic>
          </wp:inline>
        </w:drawing>
      </w:r>
    </w:p>
    <w:p w14:paraId="23A06A74" w14:textId="444ABFF4" w:rsidR="00A21B87" w:rsidRPr="00AC494E" w:rsidRDefault="00CC59F1" w:rsidP="00A21B87">
      <w:pPr>
        <w:pStyle w:val="Caption9Pt"/>
        <w:rPr>
          <w:lang w:val="fr-CH"/>
        </w:rPr>
      </w:pPr>
      <w:r w:rsidRPr="00AC494E">
        <w:rPr>
          <w:lang w:val="fr-CH"/>
        </w:rPr>
        <w:t>Liebherr-moteur-à-combustion-D976-défense.jpg</w:t>
      </w:r>
      <w:r w:rsidR="00A21B87" w:rsidRPr="00AC494E">
        <w:rPr>
          <w:lang w:val="fr-CH"/>
        </w:rPr>
        <w:br/>
      </w:r>
      <w:r w:rsidR="00E34D3D" w:rsidRPr="00AC494E">
        <w:rPr>
          <w:lang w:val="fr-CH"/>
        </w:rPr>
        <w:t xml:space="preserve">Ce moteur six cylindres en ligne allie une densité de puissance et </w:t>
      </w:r>
      <w:proofErr w:type="gramStart"/>
      <w:r w:rsidR="00E34D3D" w:rsidRPr="00AC494E">
        <w:rPr>
          <w:lang w:val="fr-CH"/>
        </w:rPr>
        <w:t>un rendement élevés</w:t>
      </w:r>
      <w:proofErr w:type="gramEnd"/>
      <w:r w:rsidR="00E34D3D" w:rsidRPr="00AC494E">
        <w:rPr>
          <w:lang w:val="fr-CH"/>
        </w:rPr>
        <w:t xml:space="preserve"> à une grande fiabilité opérationnelle pour les plateformes de défense modernes.</w:t>
      </w:r>
    </w:p>
    <w:p w14:paraId="13109274" w14:textId="321B590E" w:rsidR="00A21B87" w:rsidRPr="00AC494E" w:rsidRDefault="00A21B87" w:rsidP="009A3D17">
      <w:pPr>
        <w:pStyle w:val="Copyhead11Pt"/>
        <w:rPr>
          <w:lang w:val="fr-CH"/>
        </w:rPr>
      </w:pPr>
    </w:p>
    <w:p w14:paraId="549181CA" w14:textId="166D759F" w:rsidR="00E34D3D" w:rsidRDefault="5DDA0435" w:rsidP="6D71FA17">
      <w:pPr>
        <w:spacing w:line="300" w:lineRule="auto"/>
      </w:pPr>
      <w:r>
        <w:rPr>
          <w:noProof/>
        </w:rPr>
        <w:lastRenderedPageBreak/>
        <w:drawing>
          <wp:inline distT="0" distB="0" distL="0" distR="0" wp14:anchorId="0925BBD0" wp14:editId="1A62F6D0">
            <wp:extent cx="2729687" cy="1847850"/>
            <wp:effectExtent l="0" t="0" r="0" b="0"/>
            <wp:docPr id="36566985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669858" name="Picture 365669858"/>
                    <pic:cNvPicPr/>
                  </pic:nvPicPr>
                  <pic:blipFill>
                    <a:blip r:embed="rId13">
                      <a:extLst>
                        <a:ext uri="{28A0092B-C50C-407E-A947-70E740481C1C}">
                          <a14:useLocalDpi xmlns:a14="http://schemas.microsoft.com/office/drawing/2010/main"/>
                        </a:ext>
                      </a:extLst>
                    </a:blip>
                    <a:stretch>
                      <a:fillRect/>
                    </a:stretch>
                  </pic:blipFill>
                  <pic:spPr>
                    <a:xfrm>
                      <a:off x="0" y="0"/>
                      <a:ext cx="2729687" cy="1847850"/>
                    </a:xfrm>
                    <a:prstGeom prst="rect">
                      <a:avLst/>
                    </a:prstGeom>
                  </pic:spPr>
                </pic:pic>
              </a:graphicData>
            </a:graphic>
          </wp:inline>
        </w:drawing>
      </w:r>
    </w:p>
    <w:p w14:paraId="7EFE0F5A" w14:textId="77777777" w:rsidR="007C23B0" w:rsidRDefault="007C23B0" w:rsidP="00E34D3D">
      <w:pPr>
        <w:spacing w:line="300" w:lineRule="auto"/>
        <w:rPr>
          <w:rFonts w:ascii="Arial" w:eastAsiaTheme="minorHAnsi" w:hAnsi="Arial" w:cs="Arial"/>
          <w:sz w:val="18"/>
          <w:szCs w:val="18"/>
          <w:lang w:eastAsia="en-US"/>
        </w:rPr>
      </w:pPr>
    </w:p>
    <w:p w14:paraId="4FA9136F" w14:textId="705C63C5" w:rsidR="4D2D0FC8" w:rsidRPr="00AC494E" w:rsidRDefault="4D2D0FC8" w:rsidP="008E1FED">
      <w:pPr>
        <w:spacing w:after="0" w:line="300" w:lineRule="auto"/>
        <w:rPr>
          <w:rFonts w:ascii="Arial" w:hAnsi="Arial" w:cs="Arial"/>
          <w:sz w:val="18"/>
          <w:szCs w:val="18"/>
          <w:lang w:val="fr-CH" w:eastAsia="en-US"/>
        </w:rPr>
      </w:pPr>
      <w:r w:rsidRPr="5CF37A0A">
        <w:rPr>
          <w:rFonts w:ascii="Arial" w:hAnsi="Arial" w:cs="Arial"/>
          <w:sz w:val="18"/>
          <w:szCs w:val="18"/>
          <w:lang w:val="fr-CH" w:eastAsia="en-US"/>
        </w:rPr>
        <w:t>Liebherr-système-de-stockage-d'énergie-mobile--défense.jpg</w:t>
      </w:r>
    </w:p>
    <w:p w14:paraId="1881D167" w14:textId="269278E6" w:rsidR="2A3C0951" w:rsidRDefault="2A3C0951" w:rsidP="5CF37A0A">
      <w:pPr>
        <w:pStyle w:val="Caption9Pt"/>
        <w:rPr>
          <w:lang w:val="fr-CH"/>
        </w:rPr>
      </w:pPr>
      <w:r w:rsidRPr="5CF37A0A">
        <w:rPr>
          <w:rFonts w:eastAsia="Arial"/>
          <w:color w:val="000000" w:themeColor="text1"/>
          <w:lang w:val="fr-CH"/>
        </w:rPr>
        <w:t>Les systèmes mobiles de stockage d'énergie à batterie LPO 100 et LPO 600 permettent une alimentation électrique autonome et résiliente, même dans des environnements où les infrastructures sont limitées ou inexistantes.</w:t>
      </w:r>
    </w:p>
    <w:p w14:paraId="18C3AD2B" w14:textId="29343F5C" w:rsidR="5CF37A0A" w:rsidRDefault="5CF37A0A" w:rsidP="5CF37A0A">
      <w:pPr>
        <w:pStyle w:val="Caption9Pt"/>
        <w:rPr>
          <w:lang w:val="fr-CH"/>
        </w:rPr>
      </w:pPr>
    </w:p>
    <w:p w14:paraId="35168B3B" w14:textId="75A29E43" w:rsidR="007C23B0" w:rsidRPr="00AC494E" w:rsidRDefault="00CC59F1" w:rsidP="007C23B0">
      <w:pPr>
        <w:pStyle w:val="Caption9Pt"/>
        <w:spacing w:after="0"/>
        <w:rPr>
          <w:lang w:val="fr-CH"/>
        </w:rPr>
      </w:pPr>
      <w:r>
        <w:rPr>
          <w:noProof/>
        </w:rPr>
        <w:drawing>
          <wp:inline distT="0" distB="0" distL="0" distR="0" wp14:anchorId="49E6EC71" wp14:editId="2808C5B4">
            <wp:extent cx="2071753" cy="1165412"/>
            <wp:effectExtent l="0" t="0" r="5080" b="0"/>
            <wp:docPr id="426713643"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81440" cy="1170861"/>
                    </a:xfrm>
                    <a:prstGeom prst="rect">
                      <a:avLst/>
                    </a:prstGeom>
                    <a:noFill/>
                    <a:ln>
                      <a:noFill/>
                    </a:ln>
                  </pic:spPr>
                </pic:pic>
              </a:graphicData>
            </a:graphic>
          </wp:inline>
        </w:drawing>
      </w:r>
      <w:r w:rsidRPr="00AC494E">
        <w:rPr>
          <w:lang w:val="fr-CH"/>
        </w:rPr>
        <w:br/>
      </w:r>
      <w:r w:rsidR="00E34D3D" w:rsidRPr="00AC494E">
        <w:rPr>
          <w:lang w:val="fr-CH"/>
        </w:rPr>
        <w:t>Concept-de-batterie-sur-mesure.jpg</w:t>
      </w:r>
    </w:p>
    <w:p w14:paraId="527E040C" w14:textId="6300E9CF" w:rsidR="634EEE4A" w:rsidRPr="00AC494E" w:rsidRDefault="634EEE4A" w:rsidP="008E1FED">
      <w:pPr>
        <w:pStyle w:val="Caption9Pt"/>
        <w:spacing w:after="0"/>
        <w:rPr>
          <w:lang w:val="fr-CH"/>
        </w:rPr>
      </w:pPr>
      <w:r w:rsidRPr="00AC494E">
        <w:rPr>
          <w:lang w:val="fr-CH"/>
        </w:rPr>
        <w:t>Le concept de batterie modulaire de Liebherr permet de mettre en place des solutions énergétiques performantes et évolutives pour des applications exigeantes et sans pilote.</w:t>
      </w:r>
    </w:p>
    <w:p w14:paraId="4D8096BA" w14:textId="6BFD3F80" w:rsidR="106B504B" w:rsidRPr="00AC494E" w:rsidRDefault="106B504B" w:rsidP="106B504B">
      <w:pPr>
        <w:pStyle w:val="Caption9Pt"/>
        <w:rPr>
          <w:lang w:val="fr-CH"/>
        </w:rPr>
      </w:pPr>
    </w:p>
    <w:p w14:paraId="7422FF0D" w14:textId="23E76A87" w:rsidR="00CC59F1" w:rsidRPr="00AC494E" w:rsidRDefault="00CC59F1" w:rsidP="008E1FED">
      <w:pPr>
        <w:pStyle w:val="Caption9Pt"/>
        <w:spacing w:after="0"/>
        <w:rPr>
          <w:lang w:val="fr-CH"/>
        </w:rPr>
      </w:pPr>
      <w:r>
        <w:rPr>
          <w:noProof/>
        </w:rPr>
        <w:drawing>
          <wp:inline distT="0" distB="0" distL="0" distR="0" wp14:anchorId="119635D8" wp14:editId="55E23594">
            <wp:extent cx="2070134" cy="1164298"/>
            <wp:effectExtent l="0" t="0" r="6350" b="0"/>
            <wp:docPr id="1661676568"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flipH="1">
                      <a:off x="0" y="0"/>
                      <a:ext cx="2080318" cy="1170026"/>
                    </a:xfrm>
                    <a:prstGeom prst="rect">
                      <a:avLst/>
                    </a:prstGeom>
                    <a:noFill/>
                    <a:ln>
                      <a:noFill/>
                    </a:ln>
                  </pic:spPr>
                </pic:pic>
              </a:graphicData>
            </a:graphic>
          </wp:inline>
        </w:drawing>
      </w:r>
      <w:r w:rsidRPr="00AC494E">
        <w:rPr>
          <w:lang w:val="fr-CH"/>
        </w:rPr>
        <w:br/>
      </w:r>
      <w:r w:rsidR="00E34D3D" w:rsidRPr="00AC494E">
        <w:rPr>
          <w:lang w:val="fr-CH"/>
        </w:rPr>
        <w:t>Système-de-charge-des-batteries.jpg</w:t>
      </w:r>
    </w:p>
    <w:p w14:paraId="5B3A4C58" w14:textId="0B93B797" w:rsidR="41659D5C" w:rsidRPr="00AC494E" w:rsidRDefault="41659D5C" w:rsidP="00E34D3D">
      <w:pPr>
        <w:spacing w:after="0" w:line="300" w:lineRule="auto"/>
        <w:rPr>
          <w:rFonts w:ascii="Arial" w:eastAsiaTheme="minorHAnsi" w:hAnsi="Arial" w:cs="Arial"/>
          <w:sz w:val="18"/>
          <w:szCs w:val="18"/>
          <w:lang w:val="fr-CH" w:eastAsia="en-US"/>
        </w:rPr>
      </w:pPr>
      <w:r w:rsidRPr="00AC494E">
        <w:rPr>
          <w:rFonts w:ascii="Arial" w:eastAsiaTheme="minorHAnsi" w:hAnsi="Arial" w:cs="Arial"/>
          <w:sz w:val="18"/>
          <w:szCs w:val="18"/>
          <w:lang w:val="fr-CH" w:eastAsia="en-US"/>
        </w:rPr>
        <w:t>Les solutions de charge intelligentes garantissent une alimentation électrique efficace, sûre et fiable, même dans des conditions d'exploitation difficiles.</w:t>
      </w:r>
    </w:p>
    <w:p w14:paraId="5B0051BF" w14:textId="426CED2F" w:rsidR="106B504B" w:rsidRPr="00AC494E" w:rsidRDefault="106B504B" w:rsidP="106B504B">
      <w:pPr>
        <w:pStyle w:val="Caption9Pt"/>
        <w:rPr>
          <w:lang w:val="fr-CH"/>
        </w:rPr>
      </w:pPr>
    </w:p>
    <w:p w14:paraId="7D9F9506" w14:textId="76623E42" w:rsidR="00CC59F1" w:rsidRPr="00AC494E" w:rsidRDefault="00CC59F1" w:rsidP="008E1FED">
      <w:pPr>
        <w:pStyle w:val="Caption9Pt"/>
        <w:spacing w:after="0"/>
        <w:rPr>
          <w:lang w:val="fr-CH"/>
        </w:rPr>
      </w:pPr>
      <w:r>
        <w:rPr>
          <w:noProof/>
        </w:rPr>
        <w:drawing>
          <wp:inline distT="0" distB="0" distL="0" distR="0" wp14:anchorId="6AEEE9E8" wp14:editId="5BBE2AE8">
            <wp:extent cx="2039485" cy="1147260"/>
            <wp:effectExtent l="0" t="0" r="0" b="0"/>
            <wp:docPr id="2020704007"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060143" cy="1158881"/>
                    </a:xfrm>
                    <a:prstGeom prst="rect">
                      <a:avLst/>
                    </a:prstGeom>
                    <a:noFill/>
                    <a:ln>
                      <a:noFill/>
                    </a:ln>
                  </pic:spPr>
                </pic:pic>
              </a:graphicData>
            </a:graphic>
          </wp:inline>
        </w:drawing>
      </w:r>
      <w:r w:rsidRPr="0078757E">
        <w:rPr>
          <w:lang w:val="en-US"/>
        </w:rPr>
        <w:br/>
      </w:r>
      <w:r w:rsidR="00E34D3D" w:rsidRPr="5CF37A0A">
        <w:rPr>
          <w:lang w:val="fr-CH"/>
        </w:rPr>
        <w:t>Contrôleur de vol pour drone.jpg</w:t>
      </w:r>
    </w:p>
    <w:p w14:paraId="77BAE67B" w14:textId="0D11D4F1" w:rsidR="106B504B" w:rsidRPr="00AC494E" w:rsidRDefault="00F21975" w:rsidP="106B504B">
      <w:pPr>
        <w:pStyle w:val="Caption9Pt"/>
        <w:rPr>
          <w:lang w:val="fr-CH"/>
        </w:rPr>
      </w:pPr>
      <w:r w:rsidRPr="00F21975">
        <w:rPr>
          <w:rFonts w:eastAsia="Arial"/>
          <w:color w:val="000000" w:themeColor="text1"/>
          <w:lang w:val="fr-CH"/>
        </w:rPr>
        <w:t>Contrôleurs de vol pour drones issus de la fabrication EMS : commande précise et puissance de calcul élevée pour des applications autonomes fiables.</w:t>
      </w:r>
    </w:p>
    <w:p w14:paraId="507B627C" w14:textId="583987CB" w:rsidR="00A21B87" w:rsidRPr="00AC494E" w:rsidRDefault="00D63B50" w:rsidP="009A3D17">
      <w:pPr>
        <w:pStyle w:val="Copyhead11Pt"/>
        <w:rPr>
          <w:lang w:val="fr-CH"/>
        </w:rPr>
      </w:pPr>
      <w:r w:rsidRPr="00AC494E">
        <w:rPr>
          <w:lang w:val="fr-CH"/>
        </w:rPr>
        <w:lastRenderedPageBreak/>
        <w:t>Contact</w:t>
      </w:r>
    </w:p>
    <w:p w14:paraId="4F97670A" w14:textId="69741170" w:rsidR="00A21B87" w:rsidRPr="00AC494E" w:rsidRDefault="00A21B87" w:rsidP="009A3D17">
      <w:pPr>
        <w:pStyle w:val="Copyhead11Pt"/>
        <w:rPr>
          <w:b w:val="0"/>
          <w:lang w:val="fr-CH"/>
        </w:rPr>
      </w:pPr>
      <w:r w:rsidRPr="00AC494E">
        <w:rPr>
          <w:b w:val="0"/>
          <w:lang w:val="fr-CH"/>
        </w:rPr>
        <w:t>Alexandra Nolde</w:t>
      </w:r>
      <w:r w:rsidRPr="00AC494E">
        <w:rPr>
          <w:b w:val="0"/>
          <w:lang w:val="fr-CH"/>
        </w:rPr>
        <w:br/>
        <w:t>Spécialiste senior en communication et médias</w:t>
      </w:r>
      <w:r w:rsidRPr="00AC494E">
        <w:rPr>
          <w:b w:val="0"/>
          <w:lang w:val="fr-CH"/>
        </w:rPr>
        <w:br/>
        <w:t>Téléphone : +41 56 296 4326</w:t>
      </w:r>
      <w:r w:rsidRPr="00AC494E">
        <w:rPr>
          <w:b w:val="0"/>
          <w:lang w:val="fr-CH"/>
        </w:rPr>
        <w:br/>
      </w:r>
      <w:proofErr w:type="gramStart"/>
      <w:r w:rsidRPr="00AC494E">
        <w:rPr>
          <w:b w:val="0"/>
          <w:lang w:val="fr-CH"/>
        </w:rPr>
        <w:t>E-mail</w:t>
      </w:r>
      <w:proofErr w:type="gramEnd"/>
      <w:r w:rsidRPr="00AC494E">
        <w:rPr>
          <w:b w:val="0"/>
          <w:lang w:val="fr-CH"/>
        </w:rPr>
        <w:t xml:space="preserve"> : </w:t>
      </w:r>
      <w:hyperlink r:id="rId17" w:history="1">
        <w:r w:rsidRPr="00AC494E">
          <w:rPr>
            <w:rStyle w:val="Hyperlink"/>
            <w:b w:val="0"/>
            <w:lang w:val="fr-CH"/>
          </w:rPr>
          <w:t>alexandra.nolde@liebherr.com</w:t>
        </w:r>
      </w:hyperlink>
    </w:p>
    <w:p w14:paraId="687A3262" w14:textId="39EEF292" w:rsidR="009A3D17" w:rsidRPr="0078757E" w:rsidRDefault="009A3D17" w:rsidP="009A3D17">
      <w:pPr>
        <w:pStyle w:val="Copyhead11Pt"/>
        <w:rPr>
          <w:b w:val="0"/>
          <w:lang w:val="de-DE"/>
        </w:rPr>
      </w:pPr>
      <w:proofErr w:type="spellStart"/>
      <w:r w:rsidRPr="0078757E">
        <w:rPr>
          <w:lang w:val="de-DE"/>
        </w:rPr>
        <w:t>Publié</w:t>
      </w:r>
      <w:proofErr w:type="spellEnd"/>
      <w:r w:rsidRPr="0078757E">
        <w:rPr>
          <w:lang w:val="de-DE"/>
        </w:rPr>
        <w:t xml:space="preserve"> par</w:t>
      </w:r>
    </w:p>
    <w:p w14:paraId="32EBBB9C" w14:textId="062A1F14" w:rsidR="00B81ED6" w:rsidRPr="00B81ED6" w:rsidRDefault="00A21B87" w:rsidP="009A3D17">
      <w:pPr>
        <w:pStyle w:val="Copytext11Pt"/>
        <w:rPr>
          <w:lang w:val="de-DE"/>
        </w:rPr>
      </w:pPr>
      <w:r>
        <w:rPr>
          <w:lang w:val="de-DE"/>
        </w:rPr>
        <w:t>Liebherr-Components AG</w:t>
      </w:r>
      <w:r>
        <w:rPr>
          <w:lang w:val="de-DE"/>
        </w:rPr>
        <w:br/>
        <w:t>Baden / Suisse</w:t>
      </w:r>
      <w:r w:rsidR="009A3D17" w:rsidRPr="00BA1DEA">
        <w:rPr>
          <w:lang w:val="de-DE"/>
        </w:rPr>
        <w:br/>
      </w:r>
      <w:hyperlink r:id="rId18" w:history="1">
        <w:r w:rsidR="009A3D17" w:rsidRPr="00BA1DEA">
          <w:rPr>
            <w:lang w:val="de-DE"/>
          </w:rPr>
          <w:t>www.liebherr.com</w:t>
        </w:r>
      </w:hyperlink>
    </w:p>
    <w:sectPr w:rsidR="00B81ED6" w:rsidRPr="00B81ED6" w:rsidSect="00E847CC">
      <w:headerReference w:type="default" r:id="rId19"/>
      <w:footerReference w:type="default" r:id="rId20"/>
      <w:pgSz w:w="11906" w:h="16838"/>
      <w:pgMar w:top="851" w:right="851" w:bottom="1276" w:left="851" w:header="567"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120D0E" w14:textId="77777777" w:rsidR="00230E85" w:rsidRDefault="00230E85" w:rsidP="00B81ED6">
      <w:pPr>
        <w:spacing w:after="0" w:line="240" w:lineRule="auto"/>
      </w:pPr>
      <w:r>
        <w:separator/>
      </w:r>
    </w:p>
  </w:endnote>
  <w:endnote w:type="continuationSeparator" w:id="0">
    <w:p w14:paraId="54434752" w14:textId="77777777" w:rsidR="00230E85" w:rsidRDefault="00230E85" w:rsidP="00B81ED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Liebherr Text Office">
    <w:panose1 w:val="020B0604030000000000"/>
    <w:charset w:val="00"/>
    <w:family w:val="swiss"/>
    <w:pitch w:val="variable"/>
    <w:sig w:usb0="00000207" w:usb1="02000001" w:usb2="00000000" w:usb3="00000000" w:csb0="00000097"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CA9EA5" w14:textId="122C049B" w:rsidR="00DF40C0" w:rsidRPr="00E847CC" w:rsidRDefault="0093605C" w:rsidP="00E847CC">
    <w:pPr>
      <w:pStyle w:val="zzPageNumberLine"/>
      <w:rPr>
        <w:rFonts w:ascii="Arial" w:hAnsi="Arial" w:cs="Arial"/>
      </w:rPr>
    </w:pPr>
    <w:r w:rsidRPr="0093605C">
      <w:rPr>
        <w:rFonts w:ascii="Arial" w:hAnsi="Arial" w:cs="Arial"/>
      </w:rPr>
      <w:fldChar w:fldCharType="begin"/>
    </w:r>
    <w:r w:rsidRPr="0093605C">
      <w:rPr>
        <w:rFonts w:ascii="Arial" w:hAnsi="Arial" w:cs="Arial"/>
      </w:rPr>
      <w:instrText xml:space="preserve"> IF  &gt; 1 "/" "" </w:instrText>
    </w:r>
    <w:r w:rsidRPr="0093605C">
      <w:rPr>
        <w:rFonts w:ascii="Arial" w:hAnsi="Arial" w:cs="Arial"/>
      </w:rPr>
      <w:fldChar w:fldCharType="separate"/>
    </w:r>
    <w:r w:rsidR="008E1FED">
      <w:rPr>
        <w:rFonts w:ascii="Arial" w:hAnsi="Arial" w:cs="Arial"/>
        <w:noProof/>
      </w:rPr>
      <w:t>4</w:t>
    </w:r>
    <w:r w:rsidR="008E1FED" w:rsidRPr="0093605C">
      <w:rPr>
        <w:rFonts w:ascii="Arial" w:hAnsi="Arial" w:cs="Arial"/>
        <w:noProof/>
      </w:rPr>
      <w:t>/</w:t>
    </w:r>
    <w:r w:rsidR="008E1FED">
      <w:rPr>
        <w:rFonts w:ascii="Arial" w:hAnsi="Arial" w:cs="Arial"/>
        <w:noProof/>
      </w:rPr>
      <w:t>4</w:t>
    </w:r>
    <w:r w:rsidRPr="0093605C">
      <w:rPr>
        <w:rFonts w:ascii="Arial" w:hAnsi="Arial" w:cs="Aria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C9A79D" w14:textId="77777777" w:rsidR="00230E85" w:rsidRDefault="00230E85" w:rsidP="00B81ED6">
      <w:pPr>
        <w:spacing w:after="0" w:line="240" w:lineRule="auto"/>
      </w:pPr>
      <w:r>
        <w:separator/>
      </w:r>
    </w:p>
  </w:footnote>
  <w:footnote w:type="continuationSeparator" w:id="0">
    <w:p w14:paraId="111126E8" w14:textId="77777777" w:rsidR="00230E85" w:rsidRDefault="00230E85" w:rsidP="00B81ED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24705D" w14:textId="77777777" w:rsidR="00E847CC" w:rsidRDefault="00E847CC">
    <w:pPr>
      <w:pStyle w:val="Kopfzeile"/>
    </w:pPr>
    <w:r>
      <w:tab/>
    </w:r>
    <w:r>
      <w:tab/>
    </w:r>
    <w:r>
      <w:ptab w:relativeTo="margin" w:alignment="right" w:leader="none"/>
    </w:r>
    <w:r>
      <w:rPr>
        <w:noProof/>
        <w:lang w:eastAsia="de-DE"/>
      </w:rPr>
      <w:drawing>
        <wp:inline distT="0" distB="0" distL="0" distR="0" wp14:anchorId="7405AD93" wp14:editId="18E0C928">
          <wp:extent cx="2167200" cy="270000"/>
          <wp:effectExtent l="0" t="0" r="508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iebherr_Brand_EMF_pos.e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2167200" cy="270000"/>
                  </a:xfrm>
                  <a:prstGeom prst="rect">
                    <a:avLst/>
                  </a:prstGeom>
                </pic:spPr>
              </pic:pic>
            </a:graphicData>
          </a:graphic>
        </wp:inline>
      </w:drawing>
    </w:r>
    <w:r>
      <w:tab/>
    </w:r>
    <w:r>
      <w:tab/>
    </w:r>
  </w:p>
  <w:p w14:paraId="06F7894A" w14:textId="77777777" w:rsidR="00E847CC" w:rsidRDefault="00E847CC">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A67256"/>
    <w:multiLevelType w:val="multilevel"/>
    <w:tmpl w:val="A12230F4"/>
    <w:styleLink w:val="TitleRuleListStyleLH"/>
    <w:lvl w:ilvl="0">
      <w:start w:val="1"/>
      <w:numFmt w:val="bullet"/>
      <w:pStyle w:val="TitleRuleLH"/>
      <w:suff w:val="nothing"/>
      <w:lvlText w:val="⸺"/>
      <w:lvlJc w:val="left"/>
      <w:pPr>
        <w:ind w:left="0" w:firstLine="0"/>
      </w:pPr>
      <w:rPr>
        <w:rFonts w:ascii="Liebherr Text Office" w:hAnsi="Liebherr Text Office" w:hint="default"/>
        <w:b/>
        <w:i w:val="0"/>
        <w:position w:val="0"/>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 w15:restartNumberingAfterBreak="0">
    <w:nsid w:val="0DB049C3"/>
    <w:multiLevelType w:val="hybridMultilevel"/>
    <w:tmpl w:val="C4522C40"/>
    <w:lvl w:ilvl="0" w:tplc="DC74CFF0">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A2E7D2B"/>
    <w:multiLevelType w:val="hybridMultilevel"/>
    <w:tmpl w:val="B6B279B4"/>
    <w:lvl w:ilvl="0" w:tplc="5922D504">
      <w:numFmt w:val="bullet"/>
      <w:pStyle w:val="Bulletpoints11Pt1"/>
      <w:lvlText w:val="–"/>
      <w:lvlJc w:val="left"/>
      <w:pPr>
        <w:ind w:left="786" w:hanging="360"/>
      </w:pPr>
      <w:rPr>
        <w:rFonts w:ascii="Calibri" w:eastAsiaTheme="minorHAnsi" w:hAnsi="Calibri" w:cs="Calibri" w:hint="default"/>
        <w:b/>
      </w:rPr>
    </w:lvl>
    <w:lvl w:ilvl="1" w:tplc="04070003" w:tentative="1">
      <w:start w:val="1"/>
      <w:numFmt w:val="bullet"/>
      <w:lvlText w:val="o"/>
      <w:lvlJc w:val="left"/>
      <w:pPr>
        <w:ind w:left="1506" w:hanging="360"/>
      </w:pPr>
      <w:rPr>
        <w:rFonts w:ascii="Courier New" w:hAnsi="Courier New" w:cs="Courier New" w:hint="default"/>
      </w:rPr>
    </w:lvl>
    <w:lvl w:ilvl="2" w:tplc="04070005" w:tentative="1">
      <w:start w:val="1"/>
      <w:numFmt w:val="bullet"/>
      <w:lvlText w:val=""/>
      <w:lvlJc w:val="left"/>
      <w:pPr>
        <w:ind w:left="2226" w:hanging="360"/>
      </w:pPr>
      <w:rPr>
        <w:rFonts w:ascii="Wingdings" w:hAnsi="Wingdings" w:hint="default"/>
      </w:rPr>
    </w:lvl>
    <w:lvl w:ilvl="3" w:tplc="04070001" w:tentative="1">
      <w:start w:val="1"/>
      <w:numFmt w:val="bullet"/>
      <w:lvlText w:val=""/>
      <w:lvlJc w:val="left"/>
      <w:pPr>
        <w:ind w:left="2946" w:hanging="360"/>
      </w:pPr>
      <w:rPr>
        <w:rFonts w:ascii="Symbol" w:hAnsi="Symbol" w:hint="default"/>
      </w:rPr>
    </w:lvl>
    <w:lvl w:ilvl="4" w:tplc="04070003" w:tentative="1">
      <w:start w:val="1"/>
      <w:numFmt w:val="bullet"/>
      <w:lvlText w:val="o"/>
      <w:lvlJc w:val="left"/>
      <w:pPr>
        <w:ind w:left="3666" w:hanging="360"/>
      </w:pPr>
      <w:rPr>
        <w:rFonts w:ascii="Courier New" w:hAnsi="Courier New" w:cs="Courier New" w:hint="default"/>
      </w:rPr>
    </w:lvl>
    <w:lvl w:ilvl="5" w:tplc="04070005" w:tentative="1">
      <w:start w:val="1"/>
      <w:numFmt w:val="bullet"/>
      <w:lvlText w:val=""/>
      <w:lvlJc w:val="left"/>
      <w:pPr>
        <w:ind w:left="4386" w:hanging="360"/>
      </w:pPr>
      <w:rPr>
        <w:rFonts w:ascii="Wingdings" w:hAnsi="Wingdings" w:hint="default"/>
      </w:rPr>
    </w:lvl>
    <w:lvl w:ilvl="6" w:tplc="04070001" w:tentative="1">
      <w:start w:val="1"/>
      <w:numFmt w:val="bullet"/>
      <w:lvlText w:val=""/>
      <w:lvlJc w:val="left"/>
      <w:pPr>
        <w:ind w:left="5106" w:hanging="360"/>
      </w:pPr>
      <w:rPr>
        <w:rFonts w:ascii="Symbol" w:hAnsi="Symbol" w:hint="default"/>
      </w:rPr>
    </w:lvl>
    <w:lvl w:ilvl="7" w:tplc="04070003" w:tentative="1">
      <w:start w:val="1"/>
      <w:numFmt w:val="bullet"/>
      <w:lvlText w:val="o"/>
      <w:lvlJc w:val="left"/>
      <w:pPr>
        <w:ind w:left="5826" w:hanging="360"/>
      </w:pPr>
      <w:rPr>
        <w:rFonts w:ascii="Courier New" w:hAnsi="Courier New" w:cs="Courier New" w:hint="default"/>
      </w:rPr>
    </w:lvl>
    <w:lvl w:ilvl="8" w:tplc="04070005" w:tentative="1">
      <w:start w:val="1"/>
      <w:numFmt w:val="bullet"/>
      <w:lvlText w:val=""/>
      <w:lvlJc w:val="left"/>
      <w:pPr>
        <w:ind w:left="6546" w:hanging="360"/>
      </w:pPr>
      <w:rPr>
        <w:rFonts w:ascii="Wingdings" w:hAnsi="Wingdings" w:hint="default"/>
      </w:rPr>
    </w:lvl>
  </w:abstractNum>
  <w:abstractNum w:abstractNumId="3" w15:restartNumberingAfterBreak="0">
    <w:nsid w:val="47513EFA"/>
    <w:multiLevelType w:val="multilevel"/>
    <w:tmpl w:val="A12230F4"/>
    <w:numStyleLink w:val="TitleRuleListStyleLH"/>
  </w:abstractNum>
  <w:num w:numId="1" w16cid:durableId="269746406">
    <w:abstractNumId w:val="0"/>
  </w:num>
  <w:num w:numId="2" w16cid:durableId="1285230955">
    <w:abstractNumId w:val="3"/>
    <w:lvlOverride w:ilvl="0">
      <w:lvl w:ilvl="0">
        <w:start w:val="1"/>
        <w:numFmt w:val="bullet"/>
        <w:pStyle w:val="TitleRuleLH"/>
        <w:suff w:val="nothing"/>
        <w:lvlText w:val="⸺"/>
        <w:lvlJc w:val="left"/>
        <w:pPr>
          <w:ind w:left="0" w:firstLine="0"/>
        </w:pPr>
        <w:rPr>
          <w:rFonts w:ascii="Arial" w:hAnsi="Arial" w:cs="Arial" w:hint="default"/>
          <w:b/>
          <w:i w:val="0"/>
          <w:position w:val="0"/>
        </w:rPr>
      </w:lvl>
    </w:lvlOverride>
  </w:num>
  <w:num w:numId="3" w16cid:durableId="1549947992">
    <w:abstractNumId w:val="2"/>
  </w:num>
  <w:num w:numId="4" w16cid:durableId="462162166">
    <w:abstractNumId w:val="2"/>
  </w:num>
  <w:num w:numId="5" w16cid:durableId="1045368124">
    <w:abstractNumId w:val="1"/>
  </w:num>
  <w:num w:numId="6" w16cid:durableId="45737712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trackRevisions/>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1ED6"/>
    <w:rsid w:val="000326FA"/>
    <w:rsid w:val="00033002"/>
    <w:rsid w:val="00066E54"/>
    <w:rsid w:val="00070A88"/>
    <w:rsid w:val="00082A1B"/>
    <w:rsid w:val="00084585"/>
    <w:rsid w:val="000D63F0"/>
    <w:rsid w:val="000E3C3F"/>
    <w:rsid w:val="001214ED"/>
    <w:rsid w:val="001218B1"/>
    <w:rsid w:val="001419B4"/>
    <w:rsid w:val="00145DB7"/>
    <w:rsid w:val="0015372D"/>
    <w:rsid w:val="0019716D"/>
    <w:rsid w:val="001A1AD7"/>
    <w:rsid w:val="00201AF9"/>
    <w:rsid w:val="0020421C"/>
    <w:rsid w:val="00211B3D"/>
    <w:rsid w:val="00230E85"/>
    <w:rsid w:val="00243A0E"/>
    <w:rsid w:val="00262656"/>
    <w:rsid w:val="002638A1"/>
    <w:rsid w:val="00282521"/>
    <w:rsid w:val="00290A79"/>
    <w:rsid w:val="00291A1A"/>
    <w:rsid w:val="0029610D"/>
    <w:rsid w:val="002C3350"/>
    <w:rsid w:val="00327624"/>
    <w:rsid w:val="003524D2"/>
    <w:rsid w:val="00354D46"/>
    <w:rsid w:val="003936A6"/>
    <w:rsid w:val="003D6573"/>
    <w:rsid w:val="003E5383"/>
    <w:rsid w:val="003E69B2"/>
    <w:rsid w:val="003F5C49"/>
    <w:rsid w:val="004035DD"/>
    <w:rsid w:val="004503A3"/>
    <w:rsid w:val="004C669D"/>
    <w:rsid w:val="004E0DDD"/>
    <w:rsid w:val="0053447C"/>
    <w:rsid w:val="00556698"/>
    <w:rsid w:val="0059266E"/>
    <w:rsid w:val="00594189"/>
    <w:rsid w:val="00596BCC"/>
    <w:rsid w:val="005C54FA"/>
    <w:rsid w:val="0062450B"/>
    <w:rsid w:val="00651A08"/>
    <w:rsid w:val="00652DF9"/>
    <w:rsid w:val="00652E53"/>
    <w:rsid w:val="006D73CA"/>
    <w:rsid w:val="006E1792"/>
    <w:rsid w:val="006F4789"/>
    <w:rsid w:val="0072637C"/>
    <w:rsid w:val="00747169"/>
    <w:rsid w:val="00761197"/>
    <w:rsid w:val="0078757E"/>
    <w:rsid w:val="007C23B0"/>
    <w:rsid w:val="007C2DD9"/>
    <w:rsid w:val="007F2586"/>
    <w:rsid w:val="0080155F"/>
    <w:rsid w:val="00824226"/>
    <w:rsid w:val="00875689"/>
    <w:rsid w:val="008E1FED"/>
    <w:rsid w:val="008F69E0"/>
    <w:rsid w:val="008F6FA6"/>
    <w:rsid w:val="009169F9"/>
    <w:rsid w:val="00931706"/>
    <w:rsid w:val="0093605C"/>
    <w:rsid w:val="00944F09"/>
    <w:rsid w:val="00965077"/>
    <w:rsid w:val="00974D31"/>
    <w:rsid w:val="009A3D17"/>
    <w:rsid w:val="009A6BF7"/>
    <w:rsid w:val="009F376B"/>
    <w:rsid w:val="00A129B1"/>
    <w:rsid w:val="00A21B87"/>
    <w:rsid w:val="00A261BF"/>
    <w:rsid w:val="00A63444"/>
    <w:rsid w:val="00A649A5"/>
    <w:rsid w:val="00AB2D78"/>
    <w:rsid w:val="00AC2129"/>
    <w:rsid w:val="00AC494E"/>
    <w:rsid w:val="00AD1B5B"/>
    <w:rsid w:val="00AD32AA"/>
    <w:rsid w:val="00AF1F99"/>
    <w:rsid w:val="00B179DD"/>
    <w:rsid w:val="00B3758F"/>
    <w:rsid w:val="00B502E4"/>
    <w:rsid w:val="00B609D9"/>
    <w:rsid w:val="00B81ED6"/>
    <w:rsid w:val="00BB0BFF"/>
    <w:rsid w:val="00BD7045"/>
    <w:rsid w:val="00BE693A"/>
    <w:rsid w:val="00BF213E"/>
    <w:rsid w:val="00BF63E1"/>
    <w:rsid w:val="00C05771"/>
    <w:rsid w:val="00C229EE"/>
    <w:rsid w:val="00C464EC"/>
    <w:rsid w:val="00C750FE"/>
    <w:rsid w:val="00C77574"/>
    <w:rsid w:val="00CA1052"/>
    <w:rsid w:val="00CA26D2"/>
    <w:rsid w:val="00CB251D"/>
    <w:rsid w:val="00CC59F1"/>
    <w:rsid w:val="00D300D5"/>
    <w:rsid w:val="00D40EE0"/>
    <w:rsid w:val="00D63B50"/>
    <w:rsid w:val="00D70D3C"/>
    <w:rsid w:val="00D81333"/>
    <w:rsid w:val="00D82283"/>
    <w:rsid w:val="00DB2BCB"/>
    <w:rsid w:val="00DE0D20"/>
    <w:rsid w:val="00DF40C0"/>
    <w:rsid w:val="00E000BB"/>
    <w:rsid w:val="00E030D8"/>
    <w:rsid w:val="00E260E6"/>
    <w:rsid w:val="00E32363"/>
    <w:rsid w:val="00E34D3D"/>
    <w:rsid w:val="00E4680B"/>
    <w:rsid w:val="00E4C9BF"/>
    <w:rsid w:val="00E53C99"/>
    <w:rsid w:val="00E55540"/>
    <w:rsid w:val="00E7329B"/>
    <w:rsid w:val="00E847CC"/>
    <w:rsid w:val="00E957FB"/>
    <w:rsid w:val="00EA26F3"/>
    <w:rsid w:val="00F21975"/>
    <w:rsid w:val="00F70E5A"/>
    <w:rsid w:val="00F839DA"/>
    <w:rsid w:val="00F95CED"/>
    <w:rsid w:val="00F95F6B"/>
    <w:rsid w:val="00F969DB"/>
    <w:rsid w:val="00FB104E"/>
    <w:rsid w:val="00FB5DB5"/>
    <w:rsid w:val="01F35397"/>
    <w:rsid w:val="020D65F4"/>
    <w:rsid w:val="03679AA6"/>
    <w:rsid w:val="03A74270"/>
    <w:rsid w:val="04393126"/>
    <w:rsid w:val="04574DDE"/>
    <w:rsid w:val="048FED7B"/>
    <w:rsid w:val="04CEE7DA"/>
    <w:rsid w:val="04FB62C3"/>
    <w:rsid w:val="05FEFFB1"/>
    <w:rsid w:val="067B50D4"/>
    <w:rsid w:val="074AEF1C"/>
    <w:rsid w:val="07CD8180"/>
    <w:rsid w:val="0881C6A5"/>
    <w:rsid w:val="0A709AF1"/>
    <w:rsid w:val="0B39AB21"/>
    <w:rsid w:val="0B49CF48"/>
    <w:rsid w:val="0BE8141D"/>
    <w:rsid w:val="0D025364"/>
    <w:rsid w:val="0D6958AC"/>
    <w:rsid w:val="0E93B52F"/>
    <w:rsid w:val="106B504B"/>
    <w:rsid w:val="109CA115"/>
    <w:rsid w:val="11991FE4"/>
    <w:rsid w:val="11CCCC36"/>
    <w:rsid w:val="11D2D217"/>
    <w:rsid w:val="1342E53C"/>
    <w:rsid w:val="1500F4BF"/>
    <w:rsid w:val="157B871F"/>
    <w:rsid w:val="1599D8A6"/>
    <w:rsid w:val="180D85F4"/>
    <w:rsid w:val="19951744"/>
    <w:rsid w:val="1F010C76"/>
    <w:rsid w:val="1F421435"/>
    <w:rsid w:val="1FB1213B"/>
    <w:rsid w:val="1FDB7508"/>
    <w:rsid w:val="208FCAFA"/>
    <w:rsid w:val="20C9BA2F"/>
    <w:rsid w:val="21406EB2"/>
    <w:rsid w:val="23D7896B"/>
    <w:rsid w:val="26110294"/>
    <w:rsid w:val="27816DA1"/>
    <w:rsid w:val="282F0F80"/>
    <w:rsid w:val="28911BA4"/>
    <w:rsid w:val="28A857D0"/>
    <w:rsid w:val="29941039"/>
    <w:rsid w:val="29B7777F"/>
    <w:rsid w:val="2A3C0951"/>
    <w:rsid w:val="2A861136"/>
    <w:rsid w:val="2CBAEE8B"/>
    <w:rsid w:val="2CE7E218"/>
    <w:rsid w:val="2D63144E"/>
    <w:rsid w:val="2D8212A8"/>
    <w:rsid w:val="2DC6E158"/>
    <w:rsid w:val="2DE4F1E9"/>
    <w:rsid w:val="2E01B332"/>
    <w:rsid w:val="2E994BDE"/>
    <w:rsid w:val="3178B4B9"/>
    <w:rsid w:val="3202653E"/>
    <w:rsid w:val="32F6D95A"/>
    <w:rsid w:val="33A370D2"/>
    <w:rsid w:val="33C6B650"/>
    <w:rsid w:val="33FCF698"/>
    <w:rsid w:val="34500C5E"/>
    <w:rsid w:val="354CC691"/>
    <w:rsid w:val="35F5C933"/>
    <w:rsid w:val="36C66487"/>
    <w:rsid w:val="37E54D6C"/>
    <w:rsid w:val="3932201B"/>
    <w:rsid w:val="39A37E7C"/>
    <w:rsid w:val="39D57C46"/>
    <w:rsid w:val="3B9AFD6B"/>
    <w:rsid w:val="3C3F3EAC"/>
    <w:rsid w:val="3CA69D66"/>
    <w:rsid w:val="3E0E3D0D"/>
    <w:rsid w:val="41146BA3"/>
    <w:rsid w:val="41659D5C"/>
    <w:rsid w:val="41B80574"/>
    <w:rsid w:val="41DACD27"/>
    <w:rsid w:val="43396EA0"/>
    <w:rsid w:val="443BDA01"/>
    <w:rsid w:val="449687AC"/>
    <w:rsid w:val="44CB0EEA"/>
    <w:rsid w:val="44D9D099"/>
    <w:rsid w:val="45B5DA3E"/>
    <w:rsid w:val="45B9B45D"/>
    <w:rsid w:val="470A42A4"/>
    <w:rsid w:val="474DE905"/>
    <w:rsid w:val="49108083"/>
    <w:rsid w:val="4A4BC3C4"/>
    <w:rsid w:val="4AC44745"/>
    <w:rsid w:val="4C467F47"/>
    <w:rsid w:val="4CE7AC5F"/>
    <w:rsid w:val="4D2D0FC8"/>
    <w:rsid w:val="4D4A6DBF"/>
    <w:rsid w:val="4E04D79B"/>
    <w:rsid w:val="4E3FA47B"/>
    <w:rsid w:val="50235D38"/>
    <w:rsid w:val="5072C90E"/>
    <w:rsid w:val="507F759A"/>
    <w:rsid w:val="51129317"/>
    <w:rsid w:val="51155AE6"/>
    <w:rsid w:val="511C983F"/>
    <w:rsid w:val="53211E8B"/>
    <w:rsid w:val="57262FA7"/>
    <w:rsid w:val="57C07227"/>
    <w:rsid w:val="59EEB7A8"/>
    <w:rsid w:val="5A001F8B"/>
    <w:rsid w:val="5ADD0178"/>
    <w:rsid w:val="5BB3BFCD"/>
    <w:rsid w:val="5BD87B40"/>
    <w:rsid w:val="5C1EAA90"/>
    <w:rsid w:val="5CF37A0A"/>
    <w:rsid w:val="5D0DE394"/>
    <w:rsid w:val="5DDA0435"/>
    <w:rsid w:val="626B1145"/>
    <w:rsid w:val="62F87FC8"/>
    <w:rsid w:val="634EEE4A"/>
    <w:rsid w:val="64C9C8FA"/>
    <w:rsid w:val="654A30FB"/>
    <w:rsid w:val="6627C72C"/>
    <w:rsid w:val="67FFFBAC"/>
    <w:rsid w:val="6828D757"/>
    <w:rsid w:val="6832530D"/>
    <w:rsid w:val="68599AAF"/>
    <w:rsid w:val="69BB2535"/>
    <w:rsid w:val="6B848C5F"/>
    <w:rsid w:val="6CB16748"/>
    <w:rsid w:val="6D59D9C4"/>
    <w:rsid w:val="6D71FA17"/>
    <w:rsid w:val="6F68ACC6"/>
    <w:rsid w:val="706080C0"/>
    <w:rsid w:val="719B7DAE"/>
    <w:rsid w:val="7289A0EB"/>
    <w:rsid w:val="73D819C5"/>
    <w:rsid w:val="775A3C58"/>
    <w:rsid w:val="783DFD57"/>
    <w:rsid w:val="796521C5"/>
    <w:rsid w:val="7AC96613"/>
    <w:rsid w:val="7BA7A408"/>
    <w:rsid w:val="7BCAF9D6"/>
    <w:rsid w:val="7C4C96EC"/>
    <w:rsid w:val="7E935BF2"/>
    <w:rsid w:val="7EA41500"/>
    <w:rsid w:val="7EC8A370"/>
    <w:rsid w:val="7EFB0360"/>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ACA9D8A"/>
  <w15:chartTrackingRefBased/>
  <w15:docId w15:val="{3094C583-7E42-4AE0-8071-BB08E1EFE6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zh-CN"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TitleLogotoprightLH">
    <w:name w:val="Title Logo top right LH"/>
    <w:rsid w:val="00B81ED6"/>
    <w:pPr>
      <w:framePr w:w="10206" w:h="1701" w:hRule="exact" w:wrap="notBeside" w:vAnchor="page" w:hAnchor="page" w:x="852" w:y="852" w:anchorLock="1"/>
      <w:spacing w:after="0" w:line="240" w:lineRule="atLeast"/>
      <w:jc w:val="right"/>
    </w:pPr>
    <w:rPr>
      <w:rFonts w:eastAsiaTheme="minorHAnsi"/>
      <w:kern w:val="12"/>
      <w:sz w:val="18"/>
      <w:szCs w:val="18"/>
      <w:lang w:val="en-GB" w:eastAsia="en-US"/>
    </w:rPr>
  </w:style>
  <w:style w:type="paragraph" w:styleId="Kopfzeile">
    <w:name w:val="header"/>
    <w:basedOn w:val="Standard"/>
    <w:link w:val="KopfzeileZchn"/>
    <w:uiPriority w:val="99"/>
    <w:unhideWhenUsed/>
    <w:rsid w:val="00B81ED6"/>
    <w:pPr>
      <w:tabs>
        <w:tab w:val="center" w:pos="4513"/>
        <w:tab w:val="right" w:pos="9026"/>
      </w:tabs>
      <w:spacing w:after="0" w:line="240" w:lineRule="auto"/>
    </w:pPr>
  </w:style>
  <w:style w:type="character" w:customStyle="1" w:styleId="KopfzeileZchn">
    <w:name w:val="Kopfzeile Zchn"/>
    <w:basedOn w:val="Absatz-Standardschriftart"/>
    <w:link w:val="Kopfzeile"/>
    <w:uiPriority w:val="99"/>
    <w:rsid w:val="00B81ED6"/>
  </w:style>
  <w:style w:type="paragraph" w:styleId="Fuzeile">
    <w:name w:val="footer"/>
    <w:basedOn w:val="Standard"/>
    <w:link w:val="FuzeileZchn"/>
    <w:uiPriority w:val="99"/>
    <w:unhideWhenUsed/>
    <w:rsid w:val="00B81ED6"/>
    <w:pPr>
      <w:tabs>
        <w:tab w:val="center" w:pos="4513"/>
        <w:tab w:val="right" w:pos="9026"/>
      </w:tabs>
      <w:spacing w:after="0" w:line="240" w:lineRule="auto"/>
    </w:pPr>
  </w:style>
  <w:style w:type="character" w:customStyle="1" w:styleId="FuzeileZchn">
    <w:name w:val="Fußzeile Zchn"/>
    <w:basedOn w:val="Absatz-Standardschriftart"/>
    <w:link w:val="Fuzeile"/>
    <w:uiPriority w:val="99"/>
    <w:rsid w:val="00B81ED6"/>
  </w:style>
  <w:style w:type="paragraph" w:customStyle="1" w:styleId="HeadlineH233Pt">
    <w:name w:val="Headline H2 33Pt"/>
    <w:basedOn w:val="Standard"/>
    <w:link w:val="HeadlineH233PtZchn"/>
    <w:qFormat/>
    <w:rsid w:val="00B81ED6"/>
    <w:pPr>
      <w:keepNext/>
      <w:keepLines/>
      <w:spacing w:after="0"/>
      <w:outlineLvl w:val="0"/>
    </w:pPr>
    <w:rPr>
      <w:rFonts w:ascii="Arial" w:eastAsiaTheme="majorEastAsia" w:hAnsi="Arial" w:cstheme="majorBidi"/>
      <w:b/>
      <w:sz w:val="66"/>
      <w:szCs w:val="32"/>
      <w:lang w:eastAsia="en-US"/>
    </w:rPr>
  </w:style>
  <w:style w:type="character" w:customStyle="1" w:styleId="HeadlineH233PtZchn">
    <w:name w:val="Headline H2 33Pt Zchn"/>
    <w:basedOn w:val="Absatz-Standardschriftart"/>
    <w:link w:val="HeadlineH233Pt"/>
    <w:rsid w:val="00B81ED6"/>
    <w:rPr>
      <w:rFonts w:ascii="Arial" w:eastAsiaTheme="majorEastAsia" w:hAnsi="Arial" w:cstheme="majorBidi"/>
      <w:b/>
      <w:sz w:val="66"/>
      <w:szCs w:val="32"/>
      <w:lang w:eastAsia="en-US"/>
    </w:rPr>
  </w:style>
  <w:style w:type="paragraph" w:customStyle="1" w:styleId="Topline16Pt">
    <w:name w:val="Topline 16Pt"/>
    <w:link w:val="Topline16PtZchn"/>
    <w:qFormat/>
    <w:rsid w:val="00B81ED6"/>
    <w:pPr>
      <w:spacing w:after="0" w:line="240" w:lineRule="auto"/>
    </w:pPr>
    <w:rPr>
      <w:rFonts w:ascii="Arial" w:eastAsiaTheme="minorHAnsi" w:hAnsi="Arial"/>
      <w:sz w:val="33"/>
      <w:szCs w:val="33"/>
      <w:lang w:val="en-US" w:eastAsia="en-US"/>
    </w:rPr>
  </w:style>
  <w:style w:type="character" w:customStyle="1" w:styleId="Topline16PtZchn">
    <w:name w:val="Topline 16Pt Zchn"/>
    <w:basedOn w:val="Absatz-Standardschriftart"/>
    <w:link w:val="Topline16Pt"/>
    <w:rsid w:val="00B81ED6"/>
    <w:rPr>
      <w:rFonts w:ascii="Arial" w:eastAsiaTheme="minorHAnsi" w:hAnsi="Arial"/>
      <w:sz w:val="33"/>
      <w:szCs w:val="33"/>
      <w:lang w:val="en-US" w:eastAsia="en-US"/>
    </w:rPr>
  </w:style>
  <w:style w:type="paragraph" w:styleId="Titel">
    <w:name w:val="Title"/>
    <w:aliases w:val="Headline H2 33Pt."/>
    <w:basedOn w:val="Standard"/>
    <w:next w:val="TitleRuleLH"/>
    <w:link w:val="TitelZchn"/>
    <w:uiPriority w:val="10"/>
    <w:qFormat/>
    <w:rsid w:val="00B81ED6"/>
    <w:pPr>
      <w:keepNext/>
      <w:keepLines/>
      <w:spacing w:after="0" w:line="199" w:lineRule="auto"/>
      <w:contextualSpacing/>
    </w:pPr>
    <w:rPr>
      <w:rFonts w:ascii="Arial" w:eastAsiaTheme="majorEastAsia" w:hAnsi="Arial" w:cstheme="majorBidi"/>
      <w:b/>
      <w:kern w:val="12"/>
      <w:sz w:val="66"/>
      <w:szCs w:val="56"/>
      <w:lang w:val="en-GB" w:eastAsia="en-US"/>
      <w14:ligatures w14:val="all"/>
    </w:rPr>
  </w:style>
  <w:style w:type="character" w:customStyle="1" w:styleId="TitelZchn">
    <w:name w:val="Titel Zchn"/>
    <w:aliases w:val="Headline H2 33Pt. Zchn"/>
    <w:basedOn w:val="Absatz-Standardschriftart"/>
    <w:link w:val="Titel"/>
    <w:uiPriority w:val="10"/>
    <w:rsid w:val="00B81ED6"/>
    <w:rPr>
      <w:rFonts w:ascii="Arial" w:eastAsiaTheme="majorEastAsia" w:hAnsi="Arial" w:cstheme="majorBidi"/>
      <w:b/>
      <w:kern w:val="12"/>
      <w:sz w:val="66"/>
      <w:szCs w:val="56"/>
      <w:lang w:val="en-GB" w:eastAsia="en-US"/>
      <w14:ligatures w14:val="all"/>
    </w:rPr>
  </w:style>
  <w:style w:type="paragraph" w:customStyle="1" w:styleId="Topline16">
    <w:name w:val="Topline 16"/>
    <w:basedOn w:val="Standard"/>
    <w:uiPriority w:val="13"/>
    <w:qFormat/>
    <w:rsid w:val="00EA26F3"/>
    <w:pPr>
      <w:keepNext/>
      <w:keepLines/>
      <w:spacing w:after="120" w:line="240" w:lineRule="auto"/>
    </w:pPr>
    <w:rPr>
      <w:rFonts w:ascii="Arial" w:eastAsiaTheme="minorHAnsi" w:hAnsi="Arial"/>
      <w:kern w:val="12"/>
      <w:sz w:val="33"/>
      <w:szCs w:val="18"/>
      <w:lang w:val="en-GB" w:eastAsia="en-US"/>
    </w:rPr>
  </w:style>
  <w:style w:type="paragraph" w:customStyle="1" w:styleId="TitleRuleLH">
    <w:name w:val="Title Rule LH"/>
    <w:basedOn w:val="Titel"/>
    <w:next w:val="Standard"/>
    <w:uiPriority w:val="11"/>
    <w:rsid w:val="00B81ED6"/>
    <w:pPr>
      <w:numPr>
        <w:numId w:val="2"/>
      </w:numPr>
    </w:pPr>
    <w:rPr>
      <w:lang w:val="en-US"/>
    </w:rPr>
  </w:style>
  <w:style w:type="numbering" w:customStyle="1" w:styleId="TitleRuleListStyleLH">
    <w:name w:val="Title Rule List Style LH"/>
    <w:uiPriority w:val="99"/>
    <w:rsid w:val="00B81ED6"/>
    <w:pPr>
      <w:numPr>
        <w:numId w:val="1"/>
      </w:numPr>
    </w:pPr>
  </w:style>
  <w:style w:type="character" w:styleId="Platzhaltertext">
    <w:name w:val="Placeholder Text"/>
    <w:basedOn w:val="Absatz-Standardschriftart"/>
    <w:uiPriority w:val="99"/>
    <w:semiHidden/>
    <w:rsid w:val="00B81ED6"/>
    <w:rPr>
      <w:color w:val="808080"/>
    </w:rPr>
  </w:style>
  <w:style w:type="paragraph" w:customStyle="1" w:styleId="Bulletpoints11Pt1">
    <w:name w:val="Bulletpoints 11Pt1"/>
    <w:basedOn w:val="Standard"/>
    <w:rsid w:val="00B81ED6"/>
    <w:pPr>
      <w:numPr>
        <w:numId w:val="3"/>
      </w:numPr>
      <w:spacing w:after="0" w:line="300" w:lineRule="exact"/>
      <w:ind w:left="782" w:hanging="357"/>
    </w:pPr>
    <w:rPr>
      <w:rFonts w:ascii="Arial" w:eastAsiaTheme="minorHAnsi" w:hAnsi="Arial" w:cs="Arial"/>
      <w:b/>
      <w:lang w:val="en-US" w:eastAsia="en-US"/>
    </w:rPr>
  </w:style>
  <w:style w:type="paragraph" w:customStyle="1" w:styleId="Copytext11Pt">
    <w:name w:val="Copytext 11Pt"/>
    <w:basedOn w:val="Standard"/>
    <w:link w:val="Copytext11PtZchn"/>
    <w:qFormat/>
    <w:rsid w:val="00B81ED6"/>
    <w:pPr>
      <w:spacing w:after="300" w:line="300" w:lineRule="exact"/>
    </w:pPr>
    <w:rPr>
      <w:rFonts w:ascii="Arial" w:eastAsia="Times New Roman" w:hAnsi="Arial" w:cs="Times New Roman"/>
      <w:szCs w:val="18"/>
      <w:lang w:val="en-US" w:eastAsia="de-DE"/>
    </w:rPr>
  </w:style>
  <w:style w:type="paragraph" w:customStyle="1" w:styleId="Copyhead11Pt">
    <w:name w:val="Copyhead 11Pt"/>
    <w:basedOn w:val="Standard"/>
    <w:link w:val="Copyhead11PtZchn"/>
    <w:qFormat/>
    <w:rsid w:val="00B81ED6"/>
    <w:pPr>
      <w:spacing w:after="300" w:line="300" w:lineRule="exact"/>
    </w:pPr>
    <w:rPr>
      <w:rFonts w:ascii="Arial" w:eastAsia="Times New Roman" w:hAnsi="Arial" w:cs="Times New Roman"/>
      <w:b/>
      <w:szCs w:val="18"/>
      <w:lang w:val="en-US" w:eastAsia="de-DE"/>
    </w:rPr>
  </w:style>
  <w:style w:type="paragraph" w:customStyle="1" w:styleId="Teaser11Pt">
    <w:name w:val="Teaser 11Pt"/>
    <w:basedOn w:val="Standard"/>
    <w:link w:val="Teaser11PtZchn"/>
    <w:qFormat/>
    <w:rsid w:val="00B81ED6"/>
    <w:pPr>
      <w:tabs>
        <w:tab w:val="left" w:pos="170"/>
      </w:tabs>
      <w:suppressAutoHyphens/>
      <w:spacing w:before="240" w:after="300" w:line="300" w:lineRule="exact"/>
    </w:pPr>
    <w:rPr>
      <w:rFonts w:ascii="Arial" w:hAnsi="Arial"/>
      <w:b/>
      <w:noProof/>
      <w:lang w:val="en-US" w:eastAsia="de-DE"/>
    </w:rPr>
  </w:style>
  <w:style w:type="character" w:customStyle="1" w:styleId="Copyhead11PtZchn">
    <w:name w:val="Copyhead 11Pt Zchn"/>
    <w:basedOn w:val="Absatz-Standardschriftart"/>
    <w:link w:val="Copyhead11Pt"/>
    <w:rsid w:val="00B81ED6"/>
    <w:rPr>
      <w:rFonts w:ascii="Arial" w:eastAsia="Times New Roman" w:hAnsi="Arial" w:cs="Times New Roman"/>
      <w:b/>
      <w:szCs w:val="18"/>
      <w:lang w:val="en-US" w:eastAsia="de-DE"/>
    </w:rPr>
  </w:style>
  <w:style w:type="character" w:customStyle="1" w:styleId="Copytext11PtZchn">
    <w:name w:val="Copytext 11Pt Zchn"/>
    <w:basedOn w:val="Absatz-Standardschriftart"/>
    <w:link w:val="Copytext11Pt"/>
    <w:rsid w:val="00B81ED6"/>
    <w:rPr>
      <w:rFonts w:ascii="Arial" w:eastAsia="Times New Roman" w:hAnsi="Arial" w:cs="Times New Roman"/>
      <w:szCs w:val="18"/>
      <w:lang w:val="en-US" w:eastAsia="de-DE"/>
    </w:rPr>
  </w:style>
  <w:style w:type="character" w:customStyle="1" w:styleId="Teaser11PtZchn">
    <w:name w:val="Teaser 11Pt Zchn"/>
    <w:basedOn w:val="Absatz-Standardschriftart"/>
    <w:link w:val="Teaser11Pt"/>
    <w:rsid w:val="00B81ED6"/>
    <w:rPr>
      <w:rFonts w:ascii="Arial" w:hAnsi="Arial"/>
      <w:b/>
      <w:noProof/>
      <w:lang w:val="en-US" w:eastAsia="de-DE"/>
    </w:rPr>
  </w:style>
  <w:style w:type="paragraph" w:customStyle="1" w:styleId="Bulletpoints11Pt">
    <w:name w:val="Bulletpoints 11Pt"/>
    <w:basedOn w:val="Bulletpoints11Pt1"/>
    <w:link w:val="Bulletpoints11PtZchn"/>
    <w:qFormat/>
    <w:rsid w:val="00B81ED6"/>
    <w:pPr>
      <w:ind w:left="786" w:hanging="360"/>
    </w:pPr>
  </w:style>
  <w:style w:type="character" w:customStyle="1" w:styleId="Bulletpoints11PtZchn">
    <w:name w:val="Bulletpoints 11Pt Zchn"/>
    <w:basedOn w:val="Absatz-Standardschriftart"/>
    <w:link w:val="Bulletpoints11Pt"/>
    <w:rsid w:val="00B81ED6"/>
    <w:rPr>
      <w:rFonts w:ascii="Arial" w:eastAsiaTheme="minorHAnsi" w:hAnsi="Arial" w:cs="Arial"/>
      <w:b/>
      <w:lang w:val="en-US" w:eastAsia="en-US"/>
    </w:rPr>
  </w:style>
  <w:style w:type="paragraph" w:customStyle="1" w:styleId="BoilerplateCopyhead9Pt">
    <w:name w:val="Boilerplate Copyhead 9Pt"/>
    <w:link w:val="BoilerplateCopyhead9PtZchn"/>
    <w:qFormat/>
    <w:rsid w:val="00B81ED6"/>
    <w:pPr>
      <w:spacing w:after="240" w:line="240" w:lineRule="exact"/>
    </w:pPr>
    <w:rPr>
      <w:rFonts w:ascii="Arial" w:eastAsia="Times New Roman" w:hAnsi="Arial" w:cs="Times New Roman"/>
      <w:b/>
      <w:sz w:val="18"/>
      <w:szCs w:val="18"/>
      <w:lang w:val="en-US" w:eastAsia="de-DE"/>
    </w:rPr>
  </w:style>
  <w:style w:type="character" w:customStyle="1" w:styleId="BoilerplateCopyhead9PtZchn">
    <w:name w:val="Boilerplate Copyhead 9Pt Zchn"/>
    <w:basedOn w:val="Absatz-Standardschriftart"/>
    <w:link w:val="BoilerplateCopyhead9Pt"/>
    <w:rsid w:val="00B81ED6"/>
    <w:rPr>
      <w:rFonts w:ascii="Arial" w:eastAsia="Times New Roman" w:hAnsi="Arial" w:cs="Times New Roman"/>
      <w:b/>
      <w:sz w:val="18"/>
      <w:szCs w:val="18"/>
      <w:lang w:val="en-US" w:eastAsia="de-DE"/>
    </w:rPr>
  </w:style>
  <w:style w:type="paragraph" w:customStyle="1" w:styleId="BoilerplateCopytext9Pt">
    <w:name w:val="Boilerplate Copytext 9Pt"/>
    <w:link w:val="BoilerplateCopytext9PtZchn"/>
    <w:qFormat/>
    <w:rsid w:val="00B81ED6"/>
    <w:pPr>
      <w:spacing w:after="240" w:line="240" w:lineRule="exact"/>
    </w:pPr>
    <w:rPr>
      <w:rFonts w:ascii="Arial" w:eastAsia="Times New Roman" w:hAnsi="Arial" w:cs="Times New Roman"/>
      <w:sz w:val="18"/>
      <w:szCs w:val="18"/>
      <w:lang w:val="en-US" w:eastAsia="de-DE"/>
    </w:rPr>
  </w:style>
  <w:style w:type="paragraph" w:customStyle="1" w:styleId="Caption9Pt">
    <w:name w:val="Caption 9Pt"/>
    <w:basedOn w:val="Standard"/>
    <w:link w:val="Caption9PtZchn"/>
    <w:qFormat/>
    <w:rsid w:val="00B81ED6"/>
    <w:rPr>
      <w:rFonts w:ascii="Arial" w:eastAsiaTheme="minorHAnsi" w:hAnsi="Arial" w:cs="Arial"/>
      <w:sz w:val="18"/>
      <w:szCs w:val="18"/>
      <w:lang w:eastAsia="en-US"/>
    </w:rPr>
  </w:style>
  <w:style w:type="character" w:customStyle="1" w:styleId="BoilerplateCopytext9PtZchn">
    <w:name w:val="Boilerplate Copytext 9Pt Zchn"/>
    <w:basedOn w:val="Absatz-Standardschriftart"/>
    <w:link w:val="BoilerplateCopytext9Pt"/>
    <w:rsid w:val="00B81ED6"/>
    <w:rPr>
      <w:rFonts w:ascii="Arial" w:eastAsia="Times New Roman" w:hAnsi="Arial" w:cs="Times New Roman"/>
      <w:sz w:val="18"/>
      <w:szCs w:val="18"/>
      <w:lang w:val="en-US" w:eastAsia="de-DE"/>
    </w:rPr>
  </w:style>
  <w:style w:type="character" w:customStyle="1" w:styleId="Caption9PtZchn">
    <w:name w:val="Caption 9Pt Zchn"/>
    <w:basedOn w:val="Absatz-Standardschriftart"/>
    <w:link w:val="Caption9Pt"/>
    <w:rsid w:val="00B81ED6"/>
    <w:rPr>
      <w:rFonts w:ascii="Arial" w:eastAsiaTheme="minorHAnsi" w:hAnsi="Arial" w:cs="Arial"/>
      <w:sz w:val="18"/>
      <w:szCs w:val="18"/>
      <w:lang w:eastAsia="en-US"/>
    </w:rPr>
  </w:style>
  <w:style w:type="table" w:styleId="Tabellenraster">
    <w:name w:val="Table Grid"/>
    <w:basedOn w:val="NormaleTabelle"/>
    <w:uiPriority w:val="59"/>
    <w:rsid w:val="00B81ED6"/>
    <w:pPr>
      <w:spacing w:after="0" w:line="240" w:lineRule="auto"/>
    </w:pPr>
    <w:rPr>
      <w:rFonts w:ascii="CG Times (WN)" w:eastAsia="Times New Roman" w:hAnsi="CG Times (W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ld">
    <w:name w:val="bild"/>
    <w:rsid w:val="00B81ED6"/>
    <w:pPr>
      <w:spacing w:after="0" w:line="240" w:lineRule="auto"/>
    </w:pPr>
    <w:rPr>
      <w:rFonts w:ascii="Arial" w:hAnsi="Arial"/>
      <w:b/>
      <w:sz w:val="12"/>
      <w:szCs w:val="18"/>
      <w:lang w:eastAsia="de-DE"/>
    </w:rPr>
  </w:style>
  <w:style w:type="character" w:styleId="Hyperlink">
    <w:name w:val="Hyperlink"/>
    <w:basedOn w:val="Absatz-Standardschriftart"/>
    <w:unhideWhenUsed/>
    <w:rsid w:val="00B81ED6"/>
    <w:rPr>
      <w:color w:val="0563C1" w:themeColor="hyperlink"/>
      <w:u w:val="single"/>
    </w:rPr>
  </w:style>
  <w:style w:type="paragraph" w:customStyle="1" w:styleId="zzPageNumberLine">
    <w:name w:val="zz_PageNumberLine"/>
    <w:basedOn w:val="Fuzeile"/>
    <w:uiPriority w:val="99"/>
    <w:rsid w:val="0093605C"/>
    <w:pPr>
      <w:tabs>
        <w:tab w:val="clear" w:pos="4513"/>
        <w:tab w:val="clear" w:pos="9026"/>
        <w:tab w:val="center" w:pos="4536"/>
        <w:tab w:val="right" w:pos="9072"/>
      </w:tabs>
      <w:spacing w:before="480" w:line="240" w:lineRule="exact"/>
      <w:contextualSpacing/>
      <w:jc w:val="right"/>
    </w:pPr>
    <w:rPr>
      <w:rFonts w:eastAsiaTheme="minorHAnsi"/>
      <w:kern w:val="12"/>
      <w:sz w:val="18"/>
      <w:szCs w:val="18"/>
      <w:lang w:val="en-GB" w:eastAsia="en-US"/>
    </w:rPr>
  </w:style>
  <w:style w:type="character" w:styleId="NichtaufgelsteErwhnung">
    <w:name w:val="Unresolved Mention"/>
    <w:basedOn w:val="Absatz-Standardschriftart"/>
    <w:uiPriority w:val="99"/>
    <w:semiHidden/>
    <w:unhideWhenUsed/>
    <w:rsid w:val="00A21B87"/>
    <w:rPr>
      <w:color w:val="605E5C"/>
      <w:shd w:val="clear" w:color="auto" w:fill="E1DFDD"/>
    </w:rPr>
  </w:style>
  <w:style w:type="paragraph" w:styleId="StandardWeb">
    <w:name w:val="Normal (Web)"/>
    <w:basedOn w:val="Standard"/>
    <w:uiPriority w:val="99"/>
    <w:semiHidden/>
    <w:unhideWhenUsed/>
    <w:rsid w:val="00A21B87"/>
    <w:rPr>
      <w:rFonts w:ascii="Times New Roman" w:hAnsi="Times New Roman" w:cs="Times New Roman"/>
      <w:sz w:val="24"/>
      <w:szCs w:val="24"/>
    </w:rPr>
  </w:style>
  <w:style w:type="paragraph" w:styleId="berarbeitung">
    <w:name w:val="Revision"/>
    <w:hidden/>
    <w:uiPriority w:val="99"/>
    <w:semiHidden/>
    <w:rsid w:val="00652DF9"/>
    <w:pPr>
      <w:spacing w:after="0" w:line="240" w:lineRule="auto"/>
    </w:pPr>
  </w:style>
  <w:style w:type="character" w:customStyle="1" w:styleId="CommentReference">
    <w:name w:val="Comment Reference"/>
    <w:basedOn w:val="Absatz-Standardschriftart"/>
    <w:uiPriority w:val="99"/>
    <w:semiHidden/>
    <w:unhideWhenUsed/>
    <w:rsid w:val="00652DF9"/>
    <w:rPr>
      <w:sz w:val="16"/>
      <w:szCs w:val="16"/>
    </w:rPr>
  </w:style>
  <w:style w:type="paragraph" w:customStyle="1" w:styleId="CommentText">
    <w:name w:val="Comment Text"/>
    <w:basedOn w:val="Standard"/>
    <w:link w:val="CommentTextChar"/>
    <w:uiPriority w:val="99"/>
    <w:unhideWhenUsed/>
    <w:rsid w:val="00652DF9"/>
    <w:pPr>
      <w:spacing w:line="240" w:lineRule="auto"/>
    </w:pPr>
    <w:rPr>
      <w:sz w:val="20"/>
      <w:szCs w:val="20"/>
    </w:rPr>
  </w:style>
  <w:style w:type="character" w:customStyle="1" w:styleId="CommentTextChar">
    <w:name w:val="Comment Text Char"/>
    <w:basedOn w:val="Absatz-Standardschriftart"/>
    <w:link w:val="CommentText"/>
    <w:uiPriority w:val="99"/>
    <w:rsid w:val="00652DF9"/>
    <w:rPr>
      <w:sz w:val="20"/>
      <w:szCs w:val="20"/>
    </w:rPr>
  </w:style>
  <w:style w:type="paragraph" w:customStyle="1" w:styleId="CommentSubject">
    <w:name w:val="Comment Subject"/>
    <w:basedOn w:val="CommentText"/>
    <w:next w:val="CommentText"/>
    <w:link w:val="CommentSubjectChar"/>
    <w:uiPriority w:val="99"/>
    <w:semiHidden/>
    <w:unhideWhenUsed/>
    <w:rsid w:val="00652DF9"/>
    <w:rPr>
      <w:b/>
      <w:bCs/>
    </w:rPr>
  </w:style>
  <w:style w:type="character" w:customStyle="1" w:styleId="CommentSubjectChar">
    <w:name w:val="Comment Subject Char"/>
    <w:basedOn w:val="CommentTextChar"/>
    <w:link w:val="CommentSubject"/>
    <w:uiPriority w:val="99"/>
    <w:semiHidden/>
    <w:rsid w:val="00652DF9"/>
    <w:rPr>
      <w:b/>
      <w:bCs/>
      <w:sz w:val="20"/>
      <w:szCs w:val="20"/>
    </w:rPr>
  </w:style>
  <w:style w:type="paragraph" w:styleId="Kommentartext">
    <w:name w:val="annotation text"/>
    <w:basedOn w:val="Standard"/>
    <w:link w:val="KommentartextZchn"/>
    <w:uiPriority w:val="99"/>
    <w:unhideWhenUsed/>
    <w:pPr>
      <w:spacing w:line="240" w:lineRule="auto"/>
    </w:pPr>
    <w:rPr>
      <w:sz w:val="20"/>
      <w:szCs w:val="20"/>
    </w:rPr>
  </w:style>
  <w:style w:type="character" w:customStyle="1" w:styleId="KommentartextZchn">
    <w:name w:val="Kommentartext Zchn"/>
    <w:basedOn w:val="Absatz-Standardschriftart"/>
    <w:link w:val="Kommentartext"/>
    <w:uiPriority w:val="99"/>
    <w:rPr>
      <w:sz w:val="20"/>
      <w:szCs w:val="20"/>
    </w:rPr>
  </w:style>
  <w:style w:type="character" w:styleId="Kommentarzeichen">
    <w:name w:val="annotation reference"/>
    <w:basedOn w:val="Absatz-Standardschriftart"/>
    <w:uiPriority w:val="99"/>
    <w:semiHidden/>
    <w:unhideWhenUsed/>
    <w:rPr>
      <w:sz w:val="16"/>
      <w:szCs w:val="16"/>
    </w:rPr>
  </w:style>
  <w:style w:type="paragraph" w:styleId="Kommentarthema">
    <w:name w:val="annotation subject"/>
    <w:basedOn w:val="Kommentartext"/>
    <w:next w:val="Kommentartext"/>
    <w:link w:val="KommentarthemaZchn"/>
    <w:uiPriority w:val="99"/>
    <w:semiHidden/>
    <w:unhideWhenUsed/>
    <w:rsid w:val="00AC494E"/>
    <w:rPr>
      <w:b/>
      <w:bCs/>
    </w:rPr>
  </w:style>
  <w:style w:type="character" w:customStyle="1" w:styleId="KommentarthemaZchn">
    <w:name w:val="Kommentarthema Zchn"/>
    <w:basedOn w:val="KommentartextZchn"/>
    <w:link w:val="Kommentarthema"/>
    <w:uiPriority w:val="99"/>
    <w:semiHidden/>
    <w:rsid w:val="00AC494E"/>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55810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g"/><Relationship Id="rId18" Type="http://schemas.openxmlformats.org/officeDocument/2006/relationships/hyperlink" Target="http://www.liebherr.com" TargetMode="Externa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mailto:alexandra.nolde@liebherr.com" TargetMode="Externa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5.jpeg"/><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7.em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ea8374bc-d48d-43d1-ac0e-f941f0c1857e">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AC8F3B49DA3E4045BE85884E8CBB3476" ma:contentTypeVersion="9" ma:contentTypeDescription="Create a new document." ma:contentTypeScope="" ma:versionID="30f70a9ed59596efd840ab6d41be892c">
  <xsd:schema xmlns:xsd="http://www.w3.org/2001/XMLSchema" xmlns:xs="http://www.w3.org/2001/XMLSchema" xmlns:p="http://schemas.microsoft.com/office/2006/metadata/properties" xmlns:ns2="ea8374bc-d48d-43d1-ac0e-f941f0c1857e" targetNamespace="http://schemas.microsoft.com/office/2006/metadata/properties" ma:root="true" ma:fieldsID="148b74750b9cbe7192916ec613d9a307" ns2:_="">
    <xsd:import namespace="ea8374bc-d48d-43d1-ac0e-f941f0c1857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EventHashCode" minOccurs="0"/>
                <xsd:element ref="ns2:MediaServiceOCR" minOccurs="0"/>
                <xsd:element ref="ns2:MediaServiceGeneration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8374bc-d48d-43d1-ac0e-f941f0c1857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fieldId="{5cf76f15-5ced-4ddc-b409-7134ff3c332f}" ma:taxonomyMulti="true" ma:sspId="00000000-0000-0000-0000-000000000000" ma:termSetId="00000000-0000-0000-0000-000000000000" ma:anchorId="00000000-0000-0000-0000-000000000000" ma:open="false" ma:isKeyword="false">
      <xsd:complexType>
        <xsd:sequence>
          <xsd:element ref="pc:Terms" minOccurs="0" maxOccurs="1"/>
        </xsd:sequence>
      </xsd:complex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7B9524C-C384-41B4-8474-425A4D9F89BA}">
  <ds:schemaRefs>
    <ds:schemaRef ds:uri="http://schemas.openxmlformats.org/officeDocument/2006/bibliography"/>
  </ds:schemaRefs>
</ds:datastoreItem>
</file>

<file path=customXml/itemProps2.xml><?xml version="1.0" encoding="utf-8"?>
<ds:datastoreItem xmlns:ds="http://schemas.openxmlformats.org/officeDocument/2006/customXml" ds:itemID="{68FD2509-F1AD-4D6E-918F-EB2B1ADCA5E0}">
  <ds:schemaRefs>
    <ds:schemaRef ds:uri="http://schemas.microsoft.com/sharepoint/v3/contenttype/forms"/>
  </ds:schemaRefs>
</ds:datastoreItem>
</file>

<file path=customXml/itemProps3.xml><?xml version="1.0" encoding="utf-8"?>
<ds:datastoreItem xmlns:ds="http://schemas.openxmlformats.org/officeDocument/2006/customXml" ds:itemID="{79FA3829-BBFC-4C90-B141-C574325124AD}">
  <ds:schemaRefs>
    <ds:schemaRef ds:uri="http://schemas.microsoft.com/office/2006/metadata/properties"/>
    <ds:schemaRef ds:uri="http://schemas.microsoft.com/office/infopath/2007/PartnerControls"/>
    <ds:schemaRef ds:uri="ea8374bc-d48d-43d1-ac0e-f941f0c1857e"/>
  </ds:schemaRefs>
</ds:datastoreItem>
</file>

<file path=customXml/itemProps4.xml><?xml version="1.0" encoding="utf-8"?>
<ds:datastoreItem xmlns:ds="http://schemas.openxmlformats.org/officeDocument/2006/customXml" ds:itemID="{B5634A95-78BD-4785-9A74-D5B2AD326A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a8374bc-d48d-43d1-ac0e-f941f0c1857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1212</Words>
  <Characters>7641</Characters>
  <Application>Microsoft Office Word</Application>
  <DocSecurity>0</DocSecurity>
  <Lines>63</Lines>
  <Paragraphs>17</Paragraphs>
  <ScaleCrop>false</ScaleCrop>
  <Company>Liebherr</Company>
  <LinksUpToDate>false</LinksUpToDate>
  <CharactersWithSpaces>8836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Headlin</dc:title>
  <dc:subject/>
  <dc:creator>Goetz Manuel (LHO)</dc:creator>
  <cp:keywords>docId:94CF6C1E58153E34FAB674FA983A467A</cp:keywords>
  <dc:description/>
  <cp:lastModifiedBy>Schenk Anja (LIN)</cp:lastModifiedBy>
  <cp:revision>4</cp:revision>
  <dcterms:created xsi:type="dcterms:W3CDTF">2026-06-12T08:25:00Z</dcterms:created>
  <dcterms:modified xsi:type="dcterms:W3CDTF">2026-06-12T09:28:00Z</dcterms:modified>
  <cp:category>Presseinformation</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0x010100AC8F3B49DA3E4045BE85884E8CBB3476</vt:lpwstr>
  </property>
  <property fmtid="{D5CDD505-2E9C-101B-9397-08002B2CF9AE}" pid="3" name="docLang">
    <vt:lpwstr>de</vt:lpwstr>
  </property>
  <property fmtid="{D5CDD505-2E9C-101B-9397-08002B2CF9AE}" pid="4" name="MediaServiceImageTags">
    <vt:lpwstr/>
  </property>
  <property fmtid="{D5CDD505-2E9C-101B-9397-08002B2CF9AE}" pid="5" name="Classification">
    <vt:lpwstr>for internal use</vt:lpwstr>
  </property>
</Properties>
</file>