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C4F271" w14:textId="77777777" w:rsidR="0019716D" w:rsidRPr="00590883" w:rsidRDefault="00E847CC" w:rsidP="00E847CC">
      <w:pPr>
        <w:pStyle w:val="Topline16Pt"/>
      </w:pPr>
      <w:r w:rsidRPr="00590883">
        <w:t>Press release</w:t>
      </w:r>
    </w:p>
    <w:p w14:paraId="1B465FA5" w14:textId="77777777" w:rsidR="00590883" w:rsidRPr="001B1B83" w:rsidRDefault="00590883" w:rsidP="00590883">
      <w:pPr>
        <w:pStyle w:val="HeadlineH233Pt"/>
        <w:spacing w:line="240" w:lineRule="auto"/>
        <w:rPr>
          <w:rFonts w:cs="Arial"/>
          <w:bCs/>
          <w:lang w:val="en-US"/>
        </w:rPr>
      </w:pPr>
      <w:r w:rsidRPr="001B1B83">
        <w:rPr>
          <w:rFonts w:cs="Arial"/>
          <w:bCs/>
          <w:lang w:val="en-US"/>
        </w:rPr>
        <w:t>Liebherr-Components to showcase specialised defence solutions at Eurosatory 2026</w:t>
      </w:r>
    </w:p>
    <w:p w14:paraId="65A307FA" w14:textId="77777777" w:rsidR="00B81ED6" w:rsidRPr="001F6805" w:rsidRDefault="00B81ED6" w:rsidP="00B81ED6">
      <w:pPr>
        <w:pStyle w:val="HeadlineH233Pt"/>
        <w:spacing w:before="240" w:after="240" w:line="140" w:lineRule="exact"/>
        <w:rPr>
          <w:rFonts w:ascii="Tahoma" w:hAnsi="Tahoma" w:cs="Tahoma"/>
        </w:rPr>
      </w:pPr>
      <w:r w:rsidRPr="008F5F17">
        <w:rPr>
          <w:rFonts w:ascii="Tahoma" w:hAnsi="Tahoma" w:cs="Tahoma"/>
        </w:rPr>
        <w:t>⸺</w:t>
      </w:r>
    </w:p>
    <w:p w14:paraId="6373EE3F" w14:textId="36C8407F" w:rsidR="00590883" w:rsidRPr="001B1B83" w:rsidRDefault="00590883" w:rsidP="6D68181D">
      <w:pPr>
        <w:pStyle w:val="Bulletpoints11Pt"/>
        <w:numPr>
          <w:ilvl w:val="0"/>
          <w:numId w:val="8"/>
        </w:numPr>
        <w:pBdr>
          <w:top w:val="nil"/>
          <w:left w:val="nil"/>
          <w:bottom w:val="nil"/>
          <w:right w:val="nil"/>
          <w:between w:val="nil"/>
          <w:bar w:val="nil"/>
        </w:pBdr>
      </w:pPr>
      <w:r>
        <w:t xml:space="preserve">High-performance </w:t>
      </w:r>
      <w:r w:rsidR="5C8AA1BD">
        <w:t>engine</w:t>
      </w:r>
      <w:r>
        <w:t xml:space="preserve">s </w:t>
      </w:r>
      <w:r w:rsidR="594D26B5">
        <w:t xml:space="preserve">deliver </w:t>
      </w:r>
      <w:r w:rsidR="68416DFA">
        <w:t>maximum</w:t>
      </w:r>
      <w:r>
        <w:t xml:space="preserve"> </w:t>
      </w:r>
      <w:r w:rsidR="38CD5535">
        <w:t xml:space="preserve">power </w:t>
      </w:r>
      <w:r>
        <w:t>density, optimised fuel consumption and flexible adaptation to a variety of operational profiles</w:t>
      </w:r>
    </w:p>
    <w:p w14:paraId="7187CAB0" w14:textId="059FAF97" w:rsidR="00590883" w:rsidRPr="001B1B83" w:rsidRDefault="00590883" w:rsidP="0A0E15DF">
      <w:pPr>
        <w:pStyle w:val="Bulletpoints11Pt"/>
        <w:numPr>
          <w:ilvl w:val="0"/>
          <w:numId w:val="8"/>
        </w:numPr>
        <w:pBdr>
          <w:top w:val="nil"/>
          <w:left w:val="nil"/>
          <w:bottom w:val="nil"/>
          <w:right w:val="nil"/>
          <w:between w:val="nil"/>
          <w:bar w:val="nil"/>
        </w:pBdr>
      </w:pPr>
      <w:r>
        <w:t xml:space="preserve">Scalable battery systems, intelligent charging solutions and </w:t>
      </w:r>
      <w:r w:rsidR="2EDCEB87">
        <w:t>energy</w:t>
      </w:r>
      <w:r>
        <w:t xml:space="preserve"> storage</w:t>
      </w:r>
      <w:r w:rsidR="220FE09D">
        <w:t xml:space="preserve"> solutions ensure</w:t>
      </w:r>
      <w:r>
        <w:t xml:space="preserve">e a reliable power supply and safe operational procedures </w:t>
      </w:r>
    </w:p>
    <w:p w14:paraId="0177C00C" w14:textId="77777777" w:rsidR="00590883" w:rsidRPr="001B1B83" w:rsidRDefault="00590883" w:rsidP="00590883">
      <w:pPr>
        <w:pStyle w:val="Bulletpoints11Pt"/>
        <w:numPr>
          <w:ilvl w:val="0"/>
          <w:numId w:val="8"/>
        </w:numPr>
        <w:pBdr>
          <w:top w:val="nil"/>
          <w:left w:val="nil"/>
          <w:bottom w:val="nil"/>
          <w:right w:val="nil"/>
          <w:between w:val="nil"/>
          <w:bar w:val="nil"/>
        </w:pBdr>
      </w:pPr>
      <w:r w:rsidRPr="001B1B83">
        <w:t>Independent and reliable electronic solutions enable precise control, a high computing power and maximum reliability in autonomous applications</w:t>
      </w:r>
    </w:p>
    <w:p w14:paraId="6A0F3472" w14:textId="77777777" w:rsidR="00590883" w:rsidRPr="001B1B83" w:rsidRDefault="00590883" w:rsidP="00590883">
      <w:pPr>
        <w:pStyle w:val="Bulletpoints11Pt"/>
        <w:numPr>
          <w:ilvl w:val="0"/>
          <w:numId w:val="0"/>
        </w:numPr>
        <w:ind w:left="284"/>
      </w:pPr>
    </w:p>
    <w:p w14:paraId="645BDA12" w14:textId="6246F853" w:rsidR="00590883" w:rsidRPr="001B1B83" w:rsidRDefault="2B5E78B2" w:rsidP="0A0E15DF">
      <w:pPr>
        <w:pStyle w:val="Copytext11Pt"/>
        <w:rPr>
          <w:b/>
          <w:bCs/>
        </w:rPr>
      </w:pPr>
      <w:r w:rsidRPr="0A0E15DF">
        <w:rPr>
          <w:b/>
          <w:bCs/>
        </w:rPr>
        <w:t xml:space="preserve">Paris </w:t>
      </w:r>
      <w:r w:rsidR="00590883" w:rsidRPr="0A0E15DF">
        <w:rPr>
          <w:b/>
          <w:bCs/>
        </w:rPr>
        <w:t>(</w:t>
      </w:r>
      <w:r w:rsidR="251193E8" w:rsidRPr="0A0E15DF">
        <w:rPr>
          <w:b/>
          <w:bCs/>
        </w:rPr>
        <w:t>France</w:t>
      </w:r>
      <w:r w:rsidR="00590883" w:rsidRPr="0A0E15DF">
        <w:rPr>
          <w:b/>
          <w:bCs/>
        </w:rPr>
        <w:t>), 15 June 2026 – Liebherr is presenting a comprehensive portfolio of high-performance energy, drive and control solutions for demanding and safety-critical applications at Eurosatory 2026. The focus is on internal combustion engines, scalable battery systems, intelligent charging solutions and control technologies for unmanned systems, with a close integration of development and manufacturing at European sites, ensuring a high level of quality and reliability. All solutions on display are designed for reliability, efficiency and operational capability under extreme conditions.</w:t>
      </w:r>
    </w:p>
    <w:p w14:paraId="32C9D5FB" w14:textId="1422BDA7" w:rsidR="00590883" w:rsidRPr="001B1B83" w:rsidRDefault="00590883" w:rsidP="00590883">
      <w:pPr>
        <w:pStyle w:val="Copytext11Pt"/>
        <w:rPr>
          <w:b/>
          <w:bCs/>
        </w:rPr>
      </w:pPr>
      <w:r w:rsidRPr="5EA82735">
        <w:rPr>
          <w:b/>
          <w:bCs/>
        </w:rPr>
        <w:t>High-performance engines for demanding defen</w:t>
      </w:r>
      <w:r w:rsidR="465AFDCF" w:rsidRPr="5EA82735">
        <w:rPr>
          <w:b/>
          <w:bCs/>
        </w:rPr>
        <w:t>s</w:t>
      </w:r>
      <w:r w:rsidRPr="5EA82735">
        <w:rPr>
          <w:b/>
          <w:bCs/>
        </w:rPr>
        <w:t>e missions</w:t>
      </w:r>
    </w:p>
    <w:p w14:paraId="0422D82D" w14:textId="77777777" w:rsidR="00590883" w:rsidRPr="001B1B83" w:rsidRDefault="00590883" w:rsidP="00590883">
      <w:pPr>
        <w:pStyle w:val="Copytext11Pt"/>
      </w:pPr>
      <w:r w:rsidRPr="001B1B83">
        <w:t>With the D976 and D9612 internal combustion engines, Liebherr introduces two powerful propulsion solutions for military vehicles and safety-critical applications.</w:t>
      </w:r>
    </w:p>
    <w:p w14:paraId="47CBEF98" w14:textId="35546891" w:rsidR="00590883" w:rsidRPr="001B1B83" w:rsidRDefault="00590883" w:rsidP="00590883">
      <w:pPr>
        <w:pStyle w:val="Copytext11Pt"/>
      </w:pPr>
      <w:r w:rsidRPr="001B1B83">
        <w:t>The D976 is a six-cylinder in-line engine for modern tactical platforms. With a displacement of 18 litres and a robust modular design, it offers a high-power density, excellent fuel efficiency and enables seamless integration into heavy tactical platforms. Its high reliability makes it particularly suitable for applications that require additional power reserves, even under demanding operating conditions.</w:t>
      </w:r>
    </w:p>
    <w:p w14:paraId="75B36B5D" w14:textId="77777777" w:rsidR="00590883" w:rsidRDefault="00590883" w:rsidP="00590883">
      <w:pPr>
        <w:pStyle w:val="Copytext11Pt"/>
      </w:pPr>
      <w:r w:rsidRPr="001B1B83">
        <w:t xml:space="preserve">The D9612 V12 engine sets new standards in performance in heavy-duty applications. Thanks to its increased displacement and the injection system developed by Liebherr, it delivers an optimised power-to-weight ratio whilst reducing fuel and oil consumption. The in-house engine management system also allows flexible adaptation to different load profiles and various fuel types, making the engine particularly suitable for demanding military operations. </w:t>
      </w:r>
    </w:p>
    <w:p w14:paraId="0D9CE2C0" w14:textId="77777777" w:rsidR="00482DD3" w:rsidRDefault="00482DD3" w:rsidP="00590883">
      <w:pPr>
        <w:pStyle w:val="Copytext11Pt"/>
      </w:pPr>
    </w:p>
    <w:p w14:paraId="43771A7B" w14:textId="77777777" w:rsidR="00482DD3" w:rsidRPr="001B1B83" w:rsidRDefault="00482DD3" w:rsidP="00590883">
      <w:pPr>
        <w:pStyle w:val="Copytext11Pt"/>
      </w:pPr>
    </w:p>
    <w:p w14:paraId="7F2AC41F" w14:textId="77777777" w:rsidR="00590883" w:rsidRPr="001B1B83" w:rsidRDefault="00590883" w:rsidP="00590883">
      <w:pPr>
        <w:pStyle w:val="Copytext11Pt"/>
        <w:rPr>
          <w:b/>
          <w:bCs/>
        </w:rPr>
      </w:pPr>
      <w:r w:rsidRPr="001B1B83">
        <w:rPr>
          <w:b/>
          <w:bCs/>
        </w:rPr>
        <w:lastRenderedPageBreak/>
        <w:t>Scalable battery systems and charging solutions</w:t>
      </w:r>
    </w:p>
    <w:p w14:paraId="26B2C47C" w14:textId="5EC1DC20" w:rsidR="00590883" w:rsidRPr="001B1B83" w:rsidRDefault="00590883" w:rsidP="00590883">
      <w:pPr>
        <w:pStyle w:val="Copytext11Pt"/>
        <w:rPr>
          <w:b/>
          <w:bCs/>
        </w:rPr>
      </w:pPr>
      <w:r w:rsidRPr="001B1B83">
        <w:t>In the area of energy systems, Liebherr is showcasing its Customised Battery Concept for unmanned machinery. The modular battery systems are based on modern cell technology and enable compact designs with a high</w:t>
      </w:r>
      <w:r>
        <w:t>-</w:t>
      </w:r>
      <w:r w:rsidRPr="001B1B83">
        <w:t xml:space="preserve">power density. They can be flexibly adapted to different requirements and feature a robust, reliable design. They are complemented by intelligent charging solutions with precise charging profiles, temperature monitoring and integrated safety mechanisms. </w:t>
      </w:r>
    </w:p>
    <w:p w14:paraId="389634CB" w14:textId="23697B40" w:rsidR="00590883" w:rsidRPr="001B1B83" w:rsidRDefault="00072BA9" w:rsidP="00590883">
      <w:pPr>
        <w:pStyle w:val="Copytext11Pt"/>
      </w:pPr>
      <w:r w:rsidRPr="00072BA9">
        <w:rPr>
          <w:b/>
          <w:bCs/>
        </w:rPr>
        <w:t xml:space="preserve">EMS solutions for control technologies in autonomous </w:t>
      </w:r>
      <w:proofErr w:type="spellStart"/>
      <w:r w:rsidRPr="00072BA9">
        <w:rPr>
          <w:b/>
          <w:bCs/>
        </w:rPr>
        <w:t>systems</w:t>
      </w:r>
      <w:r w:rsidR="00590883" w:rsidRPr="001B1B83">
        <w:t>A</w:t>
      </w:r>
      <w:proofErr w:type="spellEnd"/>
      <w:r w:rsidR="00590883" w:rsidRPr="001B1B83">
        <w:t xml:space="preserve"> high-performance UAV flight controller completes the portfolio. It has been developed for demanding autonomous applications and is particularly suitable for data-intensive processes. The system offers precise control functions, flexible software integration and is manufactured </w:t>
      </w:r>
      <w:r>
        <w:t xml:space="preserve">in-house </w:t>
      </w:r>
      <w:r w:rsidR="00590883" w:rsidRPr="001B1B83">
        <w:t>to the highest quality standards</w:t>
      </w:r>
      <w:r>
        <w:t xml:space="preserve"> as part of our EMS services</w:t>
      </w:r>
      <w:r w:rsidR="00590883" w:rsidRPr="001B1B83">
        <w:t>.</w:t>
      </w:r>
    </w:p>
    <w:p w14:paraId="7574240A" w14:textId="77777777" w:rsidR="00590883" w:rsidRPr="001B1B83" w:rsidRDefault="00590883" w:rsidP="00590883">
      <w:pPr>
        <w:pStyle w:val="BoilerplateCopyhead9Pt"/>
      </w:pPr>
      <w:r w:rsidRPr="001B1B83">
        <w:rPr>
          <w:sz w:val="22"/>
          <w:szCs w:val="22"/>
        </w:rPr>
        <w:t>Mobile energy storage for an autonomous energy supply in the field</w:t>
      </w:r>
    </w:p>
    <w:p w14:paraId="03977ABD" w14:textId="77777777" w:rsidR="00590883" w:rsidRPr="001B1B83" w:rsidRDefault="00590883" w:rsidP="00590883">
      <w:pPr>
        <w:pStyle w:val="Copytext11Pt"/>
      </w:pPr>
      <w:r w:rsidRPr="001B1B83">
        <w:t>Liebherr’s mobile energy storage systems enable a resilient and independent power supply for military operations – even in environments with limited or no infrastructure. The Liduro Power Port (LPO) 600 provides self-sufficient power in the field with minimal acoustic and thermal signatures, thereby enhancing operational capability.</w:t>
      </w:r>
    </w:p>
    <w:p w14:paraId="654C55BC" w14:textId="2BBDA4A7" w:rsidR="00590883" w:rsidRPr="001B1B83" w:rsidRDefault="00590883" w:rsidP="00590883">
      <w:pPr>
        <w:pStyle w:val="Copytext11Pt"/>
      </w:pPr>
      <w:r>
        <w:t>In hybrid operation with diesel generators, the energy storage system reliably balances out peak loads, extends operating times and reduces fuel consumption as well as supply runs. This reduces logistical effort and</w:t>
      </w:r>
      <w:r w:rsidR="336E93A6">
        <w:t xml:space="preserve"> support requirements</w:t>
      </w:r>
      <w:r>
        <w:t>, whilst simultaneously increasing operational efficiency.</w:t>
      </w:r>
    </w:p>
    <w:p w14:paraId="3C820C87" w14:textId="77777777" w:rsidR="00590883" w:rsidRPr="001B1B83" w:rsidRDefault="00590883" w:rsidP="00590883">
      <w:pPr>
        <w:pStyle w:val="Copytext11Pt"/>
      </w:pPr>
      <w:r w:rsidRPr="001B1B83">
        <w:t>Thanks to its rapid deployment, simple operation and high robustness, the LPO 600 is ready for immediate use and can be flexibly integrated. Applications range from temporary infrastructure and mobile as well as stationary command, communication and IT systems all the way to the power supply of electric and unmanned systems.</w:t>
      </w:r>
    </w:p>
    <w:p w14:paraId="64275ADA" w14:textId="77777777" w:rsidR="00590883" w:rsidRPr="001B1B83" w:rsidRDefault="00590883" w:rsidP="00590883">
      <w:pPr>
        <w:pStyle w:val="BoilerplateCopyhead9Pt"/>
      </w:pPr>
      <w:r w:rsidRPr="001B1B83">
        <w:t>About Liebherr-Components AG</w:t>
      </w:r>
    </w:p>
    <w:p w14:paraId="54D545CB" w14:textId="77777777" w:rsidR="00590883" w:rsidRPr="001B1B83" w:rsidRDefault="00590883" w:rsidP="00590883">
      <w:pPr>
        <w:pStyle w:val="BoilerplateCopyhead9Pt"/>
        <w:rPr>
          <w:b w:val="0"/>
          <w:bCs/>
        </w:rPr>
      </w:pPr>
      <w:r w:rsidRPr="001B1B83">
        <w:rPr>
          <w:b w:val="0"/>
        </w:rPr>
        <w:t>The Liebherr Group specialises in this segment in the development, design, manufacture and reconditioning of high-performance components in the field of mechanical, hydraulic and electrical drive and control technology. Liebherr-Component Technologies AG, based in Bulle (Switzerland), is responsible for coordinating all activities within the Components product segment.</w:t>
      </w:r>
    </w:p>
    <w:p w14:paraId="14E36C78" w14:textId="77777777" w:rsidR="00590883" w:rsidRPr="001B1B83" w:rsidRDefault="00590883" w:rsidP="00590883">
      <w:pPr>
        <w:pStyle w:val="BoilerplateCopyhead9Pt"/>
        <w:rPr>
          <w:b w:val="0"/>
          <w:bCs/>
        </w:rPr>
      </w:pPr>
      <w:r w:rsidRPr="001B1B83">
        <w:rPr>
          <w:b w:val="0"/>
        </w:rPr>
        <w:t>The extensive range includes internal combustion engines, injection systems, engine control units, axial piston pumps and motors, hydraulic cylinders, large-diameter roller bearings, gearboxes and winches, switchgear, electronic and power electronics components, and software. These high-quality components are used in cranes and earth-moving machinery, in the mining industry, maritime applications, wind turbines, vehicle engineering, and in aviation and</w:t>
      </w:r>
    </w:p>
    <w:p w14:paraId="73C4E466" w14:textId="77777777" w:rsidR="00590883" w:rsidRPr="001B1B83" w:rsidRDefault="00590883" w:rsidP="00590883">
      <w:pPr>
        <w:pStyle w:val="BoilerplateCopyhead9Pt"/>
        <w:rPr>
          <w:b w:val="0"/>
          <w:bCs/>
        </w:rPr>
      </w:pPr>
      <w:r w:rsidRPr="001B1B83">
        <w:rPr>
          <w:b w:val="0"/>
        </w:rPr>
        <w:t>transport technology. Synergy effects from the other product segments of the Liebherr Group are utilised to drive continuous technological development</w:t>
      </w:r>
    </w:p>
    <w:p w14:paraId="637B0EB8" w14:textId="77777777" w:rsidR="00590883" w:rsidRPr="001B1B83" w:rsidRDefault="00590883" w:rsidP="00590883">
      <w:pPr>
        <w:pStyle w:val="BoilerplateCopyhead9Pt"/>
      </w:pPr>
      <w:r w:rsidRPr="001B1B83">
        <w:t xml:space="preserve">About the Liebherr Group </w:t>
      </w:r>
    </w:p>
    <w:p w14:paraId="02F097D1" w14:textId="77777777" w:rsidR="00590883" w:rsidRPr="001B1B83" w:rsidRDefault="00590883" w:rsidP="00590883">
      <w:pPr>
        <w:pStyle w:val="BoilerplateCopytext9Pt"/>
      </w:pPr>
      <w:r w:rsidRPr="001B1B83">
        <w:t xml:space="preserve">The Liebherr Group is a family-run technology company with a broadly diversified product range. The company is one of the world’s largest manufacturers of construction machinery. However, it also offers high-quality, user-focused products and </w:t>
      </w:r>
      <w:r w:rsidRPr="001B1B83">
        <w:lastRenderedPageBreak/>
        <w:t xml:space="preserve">services in many other sectors. Today, the Group comprises over 150 companies across all continents. In 2025, it employed more than 55,000 people and generated a consolidated total turnover of over 14 billion euros. Liebherr was founded by Hans Liebherr in 1949 in Kirchdorf an der Iller, southern Germany. Since then, the employees have pursued the goal of impressing their customers with sophisticated solutions and contributing to technological progress. </w:t>
      </w:r>
    </w:p>
    <w:p w14:paraId="62FCE0C6" w14:textId="77777777" w:rsidR="00590883" w:rsidRDefault="00590883" w:rsidP="00590883">
      <w:pPr>
        <w:pStyle w:val="Copyhead11Pt"/>
        <w:rPr>
          <w:lang w:val="de-DE"/>
        </w:rPr>
      </w:pPr>
      <w:r>
        <w:rPr>
          <w:lang w:val="de-DE"/>
        </w:rPr>
        <w:t>Images</w:t>
      </w:r>
    </w:p>
    <w:p w14:paraId="1A480073" w14:textId="77777777" w:rsidR="00590883" w:rsidRDefault="00590883" w:rsidP="00590883">
      <w:r>
        <w:rPr>
          <w:noProof/>
        </w:rPr>
        <w:drawing>
          <wp:inline distT="0" distB="0" distL="0" distR="0" wp14:anchorId="6DB18626" wp14:editId="4E745E5C">
            <wp:extent cx="1970116" cy="1175658"/>
            <wp:effectExtent l="0" t="0" r="0" b="0"/>
            <wp:docPr id="1073741826" name="officeArt object" descr="Image 1"/>
            <wp:cNvGraphicFramePr/>
            <a:graphic xmlns:a="http://schemas.openxmlformats.org/drawingml/2006/main">
              <a:graphicData uri="http://schemas.openxmlformats.org/drawingml/2006/picture">
                <pic:pic xmlns:pic="http://schemas.openxmlformats.org/drawingml/2006/picture">
                  <pic:nvPicPr>
                    <pic:cNvPr id="1073741826" name="Image 1" descr="Image 1"/>
                    <pic:cNvPicPr>
                      <a:picLocks noChangeAspect="1"/>
                    </pic:cNvPicPr>
                  </pic:nvPicPr>
                  <pic:blipFill>
                    <a:blip r:embed="rId11"/>
                    <a:stretch>
                      <a:fillRect/>
                    </a:stretch>
                  </pic:blipFill>
                  <pic:spPr>
                    <a:xfrm>
                      <a:off x="0" y="0"/>
                      <a:ext cx="1970116" cy="1175658"/>
                    </a:xfrm>
                    <a:prstGeom prst="rect">
                      <a:avLst/>
                    </a:prstGeom>
                    <a:ln w="12700" cap="flat">
                      <a:noFill/>
                      <a:miter lim="400000"/>
                    </a:ln>
                    <a:effectLst/>
                  </pic:spPr>
                </pic:pic>
              </a:graphicData>
            </a:graphic>
          </wp:inline>
        </w:drawing>
      </w:r>
    </w:p>
    <w:p w14:paraId="5745F133" w14:textId="77777777" w:rsidR="00590883" w:rsidRPr="001B1B83" w:rsidRDefault="00590883" w:rsidP="00590883">
      <w:pPr>
        <w:pStyle w:val="Caption9Pt"/>
        <w:rPr>
          <w:lang w:val="en-US"/>
        </w:rPr>
      </w:pPr>
      <w:r w:rsidRPr="001B1B83">
        <w:rPr>
          <w:lang w:val="en-US"/>
        </w:rPr>
        <w:t>Liebherr-combustion-engine-D9612-defense.jpg</w:t>
      </w:r>
      <w:r w:rsidRPr="001B1B83">
        <w:rPr>
          <w:lang w:val="en-US"/>
        </w:rPr>
        <w:br/>
        <w:t>The high-performance V12 engine offers exceptional power and versatility for heavy-duty defence applications.</w:t>
      </w:r>
    </w:p>
    <w:p w14:paraId="31431EED" w14:textId="77777777" w:rsidR="00590883" w:rsidRDefault="00590883" w:rsidP="00590883">
      <w:r>
        <w:rPr>
          <w:noProof/>
        </w:rPr>
        <w:drawing>
          <wp:inline distT="0" distB="0" distL="0" distR="0" wp14:anchorId="6154C151" wp14:editId="0B892EB9">
            <wp:extent cx="1970092" cy="1249491"/>
            <wp:effectExtent l="0" t="0" r="0" b="0"/>
            <wp:docPr id="1073741827" name="officeArt object" descr="Image 3"/>
            <wp:cNvGraphicFramePr/>
            <a:graphic xmlns:a="http://schemas.openxmlformats.org/drawingml/2006/main">
              <a:graphicData uri="http://schemas.openxmlformats.org/drawingml/2006/picture">
                <pic:pic xmlns:pic="http://schemas.openxmlformats.org/drawingml/2006/picture">
                  <pic:nvPicPr>
                    <pic:cNvPr id="1073741827" name="Image 3" descr="Image 3"/>
                    <pic:cNvPicPr>
                      <a:picLocks noChangeAspect="1"/>
                    </pic:cNvPicPr>
                  </pic:nvPicPr>
                  <pic:blipFill>
                    <a:blip r:embed="rId12"/>
                    <a:stretch>
                      <a:fillRect/>
                    </a:stretch>
                  </pic:blipFill>
                  <pic:spPr>
                    <a:xfrm>
                      <a:off x="0" y="0"/>
                      <a:ext cx="1970092" cy="1249491"/>
                    </a:xfrm>
                    <a:prstGeom prst="rect">
                      <a:avLst/>
                    </a:prstGeom>
                    <a:ln w="12700" cap="flat">
                      <a:noFill/>
                      <a:miter lim="400000"/>
                    </a:ln>
                    <a:effectLst/>
                  </pic:spPr>
                </pic:pic>
              </a:graphicData>
            </a:graphic>
          </wp:inline>
        </w:drawing>
      </w:r>
    </w:p>
    <w:p w14:paraId="77062510" w14:textId="77777777" w:rsidR="00590883" w:rsidRPr="001B1B83" w:rsidRDefault="00590883" w:rsidP="00590883">
      <w:pPr>
        <w:pStyle w:val="Caption9Pt"/>
        <w:rPr>
          <w:lang w:val="en-US"/>
        </w:rPr>
      </w:pPr>
      <w:r w:rsidRPr="001B1B83">
        <w:rPr>
          <w:lang w:val="en-US"/>
        </w:rPr>
        <w:t>Liebherr-combustion-engine-D976-defense.jpg</w:t>
      </w:r>
      <w:r w:rsidRPr="001B1B83">
        <w:rPr>
          <w:lang w:val="en-US"/>
        </w:rPr>
        <w:br/>
        <w:t>This inline six-cylinder engine combines high power density and efficiency with operational reliability for modern defence platforms.</w:t>
      </w:r>
    </w:p>
    <w:p w14:paraId="41C8D524" w14:textId="77777777" w:rsidR="00590883" w:rsidRPr="001B1B83" w:rsidRDefault="00590883" w:rsidP="00590883">
      <w:pPr>
        <w:pStyle w:val="Copyhead11Pt"/>
      </w:pPr>
    </w:p>
    <w:p w14:paraId="50A5A982" w14:textId="77777777" w:rsidR="00590883" w:rsidRDefault="00590883" w:rsidP="00590883">
      <w:pPr>
        <w:spacing w:line="300" w:lineRule="auto"/>
      </w:pPr>
      <w:r>
        <w:rPr>
          <w:noProof/>
        </w:rPr>
        <w:drawing>
          <wp:inline distT="0" distB="0" distL="0" distR="0" wp14:anchorId="28D23112" wp14:editId="22B14C6B">
            <wp:extent cx="2729688" cy="1847850"/>
            <wp:effectExtent l="0" t="0" r="0" b="0"/>
            <wp:docPr id="1073741828" name="officeArt object" descr="drawing"/>
            <wp:cNvGraphicFramePr/>
            <a:graphic xmlns:a="http://schemas.openxmlformats.org/drawingml/2006/main">
              <a:graphicData uri="http://schemas.openxmlformats.org/drawingml/2006/picture">
                <pic:pic xmlns:pic="http://schemas.openxmlformats.org/drawingml/2006/picture">
                  <pic:nvPicPr>
                    <pic:cNvPr id="1073741828" name="drawing" descr="drawing"/>
                    <pic:cNvPicPr>
                      <a:picLocks noChangeAspect="1"/>
                    </pic:cNvPicPr>
                  </pic:nvPicPr>
                  <pic:blipFill>
                    <a:blip r:embed="rId13"/>
                    <a:stretch>
                      <a:fillRect/>
                    </a:stretch>
                  </pic:blipFill>
                  <pic:spPr>
                    <a:xfrm>
                      <a:off x="0" y="0"/>
                      <a:ext cx="2729688" cy="1847850"/>
                    </a:xfrm>
                    <a:prstGeom prst="rect">
                      <a:avLst/>
                    </a:prstGeom>
                    <a:ln w="12700" cap="flat">
                      <a:noFill/>
                      <a:miter lim="400000"/>
                    </a:ln>
                    <a:effectLst/>
                  </pic:spPr>
                </pic:pic>
              </a:graphicData>
            </a:graphic>
          </wp:inline>
        </w:drawing>
      </w:r>
    </w:p>
    <w:p w14:paraId="7E64BB7C" w14:textId="77777777" w:rsidR="00590883" w:rsidRDefault="00590883" w:rsidP="00590883">
      <w:pPr>
        <w:spacing w:line="300" w:lineRule="auto"/>
        <w:rPr>
          <w:rFonts w:ascii="Arial" w:eastAsia="Arial" w:hAnsi="Arial" w:cs="Arial"/>
          <w:sz w:val="18"/>
          <w:szCs w:val="18"/>
        </w:rPr>
      </w:pPr>
    </w:p>
    <w:p w14:paraId="79798D63" w14:textId="77777777" w:rsidR="00590883" w:rsidRPr="001B1B83" w:rsidRDefault="00590883" w:rsidP="00590883">
      <w:pPr>
        <w:spacing w:after="0" w:line="300" w:lineRule="auto"/>
        <w:rPr>
          <w:rFonts w:ascii="Arial" w:eastAsia="Arial" w:hAnsi="Arial" w:cs="Arial"/>
          <w:sz w:val="18"/>
          <w:szCs w:val="18"/>
          <w:lang w:val="en-US"/>
        </w:rPr>
      </w:pPr>
      <w:r w:rsidRPr="001B1B83">
        <w:rPr>
          <w:rFonts w:ascii="Arial" w:hAnsi="Arial"/>
          <w:sz w:val="18"/>
          <w:szCs w:val="18"/>
          <w:lang w:val="en-US"/>
        </w:rPr>
        <w:t>Liebherr-mobile-energy-storage--defense.jpg</w:t>
      </w:r>
    </w:p>
    <w:p w14:paraId="47320D38" w14:textId="77777777" w:rsidR="00590883" w:rsidRPr="001B1B83" w:rsidRDefault="00590883" w:rsidP="00590883">
      <w:pPr>
        <w:pStyle w:val="Caption9Pt"/>
        <w:rPr>
          <w:lang w:val="en-US"/>
        </w:rPr>
      </w:pPr>
      <w:r w:rsidRPr="001B1B83">
        <w:rPr>
          <w:lang w:val="en-US"/>
        </w:rPr>
        <w:t>The LPO 100 and LPO 600 mobile, battery-powered energy storage systems enable an independent and resilient power supply – even in environments with limited or no infrastructure</w:t>
      </w:r>
    </w:p>
    <w:p w14:paraId="6631F9BA" w14:textId="77777777" w:rsidR="00590883" w:rsidRPr="001B1B83" w:rsidRDefault="00590883" w:rsidP="00590883">
      <w:pPr>
        <w:pStyle w:val="Caption9Pt"/>
        <w:spacing w:after="0"/>
        <w:rPr>
          <w:lang w:val="en-US"/>
        </w:rPr>
      </w:pPr>
      <w:r>
        <w:rPr>
          <w:noProof/>
        </w:rPr>
        <w:lastRenderedPageBreak/>
        <w:drawing>
          <wp:inline distT="0" distB="0" distL="0" distR="0" wp14:anchorId="06CD664A" wp14:editId="10D9C7F4">
            <wp:extent cx="2071753" cy="1165412"/>
            <wp:effectExtent l="0" t="0" r="0" b="0"/>
            <wp:docPr id="1073741829" name="officeArt object" descr="Grafik 4"/>
            <wp:cNvGraphicFramePr/>
            <a:graphic xmlns:a="http://schemas.openxmlformats.org/drawingml/2006/main">
              <a:graphicData uri="http://schemas.openxmlformats.org/drawingml/2006/picture">
                <pic:pic xmlns:pic="http://schemas.openxmlformats.org/drawingml/2006/picture">
                  <pic:nvPicPr>
                    <pic:cNvPr id="1073741829" name="Grafik 4" descr="Grafik 4"/>
                    <pic:cNvPicPr>
                      <a:picLocks noChangeAspect="1"/>
                    </pic:cNvPicPr>
                  </pic:nvPicPr>
                  <pic:blipFill>
                    <a:blip r:embed="rId14"/>
                    <a:stretch>
                      <a:fillRect/>
                    </a:stretch>
                  </pic:blipFill>
                  <pic:spPr>
                    <a:xfrm>
                      <a:off x="0" y="0"/>
                      <a:ext cx="2071753" cy="1165412"/>
                    </a:xfrm>
                    <a:prstGeom prst="rect">
                      <a:avLst/>
                    </a:prstGeom>
                    <a:ln w="12700" cap="flat">
                      <a:noFill/>
                      <a:miter lim="400000"/>
                    </a:ln>
                    <a:effectLst/>
                  </pic:spPr>
                </pic:pic>
              </a:graphicData>
            </a:graphic>
          </wp:inline>
        </w:drawing>
      </w:r>
      <w:r w:rsidRPr="001B1B83">
        <w:rPr>
          <w:lang w:val="en-US"/>
        </w:rPr>
        <w:br/>
        <w:t>Customised-battery-concept.jpg</w:t>
      </w:r>
    </w:p>
    <w:p w14:paraId="2646535A" w14:textId="77777777" w:rsidR="00590883" w:rsidRPr="001B1B83" w:rsidRDefault="00590883" w:rsidP="00590883">
      <w:pPr>
        <w:pStyle w:val="Caption9Pt"/>
        <w:spacing w:after="0"/>
        <w:rPr>
          <w:lang w:val="en-US"/>
        </w:rPr>
      </w:pPr>
      <w:r w:rsidRPr="001B1B83">
        <w:rPr>
          <w:lang w:val="en-US"/>
        </w:rPr>
        <w:t>Liebherr’s modular battery concept enables high-performance, scalable energy solutions for demanding and unmanned applications.</w:t>
      </w:r>
    </w:p>
    <w:p w14:paraId="72F8640E" w14:textId="77777777" w:rsidR="00590883" w:rsidRPr="001B1B83" w:rsidRDefault="00590883" w:rsidP="00590883">
      <w:pPr>
        <w:pStyle w:val="Caption9Pt"/>
        <w:rPr>
          <w:lang w:val="en-US"/>
        </w:rPr>
      </w:pPr>
    </w:p>
    <w:p w14:paraId="3E236E6A" w14:textId="77777777" w:rsidR="00590883" w:rsidRPr="001B1B83" w:rsidRDefault="00590883" w:rsidP="00590883">
      <w:pPr>
        <w:pStyle w:val="Caption9Pt"/>
        <w:spacing w:after="0"/>
        <w:rPr>
          <w:lang w:val="en-US"/>
        </w:rPr>
      </w:pPr>
      <w:r>
        <w:rPr>
          <w:noProof/>
        </w:rPr>
        <w:drawing>
          <wp:inline distT="0" distB="0" distL="0" distR="0" wp14:anchorId="0DD88F6B" wp14:editId="4802C30E">
            <wp:extent cx="2070134" cy="1164299"/>
            <wp:effectExtent l="0" t="0" r="0" b="0"/>
            <wp:docPr id="1073741830" name="officeArt object" descr="Grafik 7"/>
            <wp:cNvGraphicFramePr/>
            <a:graphic xmlns:a="http://schemas.openxmlformats.org/drawingml/2006/main">
              <a:graphicData uri="http://schemas.openxmlformats.org/drawingml/2006/picture">
                <pic:pic xmlns:pic="http://schemas.openxmlformats.org/drawingml/2006/picture">
                  <pic:nvPicPr>
                    <pic:cNvPr id="1073741830" name="Grafik 7" descr="Grafik 7"/>
                    <pic:cNvPicPr>
                      <a:picLocks noChangeAspect="1"/>
                    </pic:cNvPicPr>
                  </pic:nvPicPr>
                  <pic:blipFill>
                    <a:blip r:embed="rId15"/>
                    <a:stretch>
                      <a:fillRect/>
                    </a:stretch>
                  </pic:blipFill>
                  <pic:spPr>
                    <a:xfrm flipH="1">
                      <a:off x="0" y="0"/>
                      <a:ext cx="2070134" cy="1164299"/>
                    </a:xfrm>
                    <a:prstGeom prst="rect">
                      <a:avLst/>
                    </a:prstGeom>
                    <a:ln w="12700" cap="flat">
                      <a:noFill/>
                      <a:miter lim="400000"/>
                    </a:ln>
                    <a:effectLst/>
                  </pic:spPr>
                </pic:pic>
              </a:graphicData>
            </a:graphic>
          </wp:inline>
        </w:drawing>
      </w:r>
      <w:r w:rsidRPr="001B1B83">
        <w:rPr>
          <w:lang w:val="en-US"/>
        </w:rPr>
        <w:br/>
        <w:t>Battery-charging-system.jpg</w:t>
      </w:r>
    </w:p>
    <w:p w14:paraId="704F9FC3" w14:textId="77777777" w:rsidR="00590883" w:rsidRPr="001B1B83" w:rsidRDefault="00590883" w:rsidP="00590883">
      <w:pPr>
        <w:spacing w:after="0" w:line="300" w:lineRule="auto"/>
        <w:rPr>
          <w:rFonts w:ascii="Arial" w:eastAsia="Arial" w:hAnsi="Arial" w:cs="Arial"/>
          <w:sz w:val="18"/>
          <w:szCs w:val="18"/>
          <w:lang w:val="en-US"/>
        </w:rPr>
      </w:pPr>
      <w:r w:rsidRPr="001B1B83">
        <w:rPr>
          <w:rFonts w:ascii="Arial" w:hAnsi="Arial"/>
          <w:sz w:val="18"/>
          <w:szCs w:val="18"/>
          <w:lang w:val="en-US"/>
        </w:rPr>
        <w:t>The intelligent charging solutions ensure an efficient, safe and reliable power supply – even under challenging operating conditions.</w:t>
      </w:r>
    </w:p>
    <w:p w14:paraId="39B0F214" w14:textId="77777777" w:rsidR="00590883" w:rsidRPr="001B1B83" w:rsidRDefault="00590883" w:rsidP="00590883">
      <w:pPr>
        <w:pStyle w:val="Caption9Pt"/>
        <w:rPr>
          <w:lang w:val="en-US"/>
        </w:rPr>
      </w:pPr>
    </w:p>
    <w:p w14:paraId="5443B504" w14:textId="77777777" w:rsidR="00590883" w:rsidRPr="001B1B83" w:rsidRDefault="00590883" w:rsidP="00590883">
      <w:pPr>
        <w:pStyle w:val="Caption9Pt"/>
        <w:spacing w:after="0"/>
        <w:rPr>
          <w:lang w:val="en-US"/>
        </w:rPr>
      </w:pPr>
      <w:r>
        <w:rPr>
          <w:noProof/>
        </w:rPr>
        <w:drawing>
          <wp:inline distT="0" distB="0" distL="0" distR="0" wp14:anchorId="2D01B8FE" wp14:editId="3622B800">
            <wp:extent cx="2039485" cy="1147261"/>
            <wp:effectExtent l="0" t="0" r="0" b="0"/>
            <wp:docPr id="1073741831" name="officeArt object" descr="Grafik 6"/>
            <wp:cNvGraphicFramePr/>
            <a:graphic xmlns:a="http://schemas.openxmlformats.org/drawingml/2006/main">
              <a:graphicData uri="http://schemas.openxmlformats.org/drawingml/2006/picture">
                <pic:pic xmlns:pic="http://schemas.openxmlformats.org/drawingml/2006/picture">
                  <pic:nvPicPr>
                    <pic:cNvPr id="1073741831" name="Grafik 6" descr="Grafik 6"/>
                    <pic:cNvPicPr>
                      <a:picLocks noChangeAspect="1"/>
                    </pic:cNvPicPr>
                  </pic:nvPicPr>
                  <pic:blipFill>
                    <a:blip r:embed="rId16"/>
                    <a:stretch>
                      <a:fillRect/>
                    </a:stretch>
                  </pic:blipFill>
                  <pic:spPr>
                    <a:xfrm>
                      <a:off x="0" y="0"/>
                      <a:ext cx="2039485" cy="1147261"/>
                    </a:xfrm>
                    <a:prstGeom prst="rect">
                      <a:avLst/>
                    </a:prstGeom>
                    <a:ln w="12700" cap="flat">
                      <a:noFill/>
                      <a:miter lim="400000"/>
                    </a:ln>
                    <a:effectLst/>
                  </pic:spPr>
                </pic:pic>
              </a:graphicData>
            </a:graphic>
          </wp:inline>
        </w:drawing>
      </w:r>
      <w:r w:rsidRPr="001B1B83">
        <w:rPr>
          <w:lang w:val="en-US"/>
        </w:rPr>
        <w:br/>
        <w:t>UAV flight controller.jpg</w:t>
      </w:r>
    </w:p>
    <w:p w14:paraId="44844CCB" w14:textId="20AA057E" w:rsidR="00590883" w:rsidRPr="001B1B83" w:rsidRDefault="00072BA9" w:rsidP="00590883">
      <w:pPr>
        <w:spacing w:after="0" w:line="300" w:lineRule="auto"/>
        <w:rPr>
          <w:rFonts w:ascii="Arial" w:eastAsia="Arial" w:hAnsi="Arial" w:cs="Arial"/>
          <w:sz w:val="18"/>
          <w:szCs w:val="18"/>
          <w:lang w:val="en-US"/>
        </w:rPr>
      </w:pPr>
      <w:r w:rsidRPr="00072BA9">
        <w:rPr>
          <w:rFonts w:ascii="Arial" w:hAnsi="Arial"/>
          <w:sz w:val="18"/>
          <w:szCs w:val="18"/>
          <w:lang w:val="en-US"/>
        </w:rPr>
        <w:t xml:space="preserve">UAV flight controllers from EMS manufacturing: </w:t>
      </w:r>
      <w:r>
        <w:rPr>
          <w:rFonts w:ascii="Arial" w:hAnsi="Arial"/>
          <w:sz w:val="18"/>
          <w:szCs w:val="18"/>
          <w:lang w:val="en-US"/>
        </w:rPr>
        <w:t xml:space="preserve">enables </w:t>
      </w:r>
      <w:r w:rsidRPr="00072BA9">
        <w:rPr>
          <w:rFonts w:ascii="Arial" w:hAnsi="Arial"/>
          <w:sz w:val="18"/>
          <w:szCs w:val="18"/>
          <w:lang w:val="en-US"/>
        </w:rPr>
        <w:t>precise control and high computing power for reliable autonomous applications.</w:t>
      </w:r>
    </w:p>
    <w:p w14:paraId="2282E8A1" w14:textId="77777777" w:rsidR="00590883" w:rsidRPr="001B1B83" w:rsidRDefault="00590883" w:rsidP="00590883">
      <w:pPr>
        <w:pStyle w:val="Caption9Pt"/>
        <w:rPr>
          <w:lang w:val="en-US"/>
        </w:rPr>
      </w:pPr>
    </w:p>
    <w:p w14:paraId="13233D03" w14:textId="77777777" w:rsidR="00590883" w:rsidRPr="001B1B83" w:rsidRDefault="00590883" w:rsidP="00590883">
      <w:pPr>
        <w:pStyle w:val="Copyhead11Pt"/>
      </w:pPr>
      <w:r w:rsidRPr="001B1B83">
        <w:t>Contact</w:t>
      </w:r>
    </w:p>
    <w:p w14:paraId="49E84B5F" w14:textId="77777777" w:rsidR="00590883" w:rsidRPr="001B1B83" w:rsidRDefault="00590883" w:rsidP="00590883">
      <w:pPr>
        <w:pStyle w:val="Copyhead11Pt"/>
        <w:rPr>
          <w:b w:val="0"/>
          <w:bCs/>
        </w:rPr>
      </w:pPr>
      <w:r w:rsidRPr="001B1B83">
        <w:rPr>
          <w:b w:val="0"/>
        </w:rPr>
        <w:t>Alexandra Nolde</w:t>
      </w:r>
      <w:r w:rsidRPr="001B1B83">
        <w:rPr>
          <w:b w:val="0"/>
        </w:rPr>
        <w:br/>
        <w:t>Senior Communication &amp; Media Specialist</w:t>
      </w:r>
      <w:r w:rsidRPr="001B1B83">
        <w:rPr>
          <w:b w:val="0"/>
        </w:rPr>
        <w:br/>
        <w:t>Phone: +41 56 296 4326</w:t>
      </w:r>
      <w:r w:rsidRPr="001B1B83">
        <w:rPr>
          <w:b w:val="0"/>
        </w:rPr>
        <w:br/>
        <w:t xml:space="preserve">Email: </w:t>
      </w:r>
      <w:hyperlink r:id="rId17" w:history="1">
        <w:r w:rsidRPr="001B1B83">
          <w:rPr>
            <w:rStyle w:val="Hyperlink0"/>
            <w:b w:val="0"/>
            <w:lang w:val="en-US"/>
          </w:rPr>
          <w:t>alexandra.nolde@liebherr.com</w:t>
        </w:r>
      </w:hyperlink>
    </w:p>
    <w:p w14:paraId="6FA04696" w14:textId="77777777" w:rsidR="00590883" w:rsidRPr="001B1B83" w:rsidRDefault="00590883" w:rsidP="00590883">
      <w:pPr>
        <w:pStyle w:val="Copyhead11Pt"/>
        <w:rPr>
          <w:b w:val="0"/>
          <w:bCs/>
        </w:rPr>
      </w:pPr>
      <w:r w:rsidRPr="001B1B83">
        <w:t>Published by</w:t>
      </w:r>
    </w:p>
    <w:p w14:paraId="72C0E8D7" w14:textId="77777777" w:rsidR="00590883" w:rsidRPr="00590883" w:rsidRDefault="00590883" w:rsidP="00590883">
      <w:pPr>
        <w:pStyle w:val="Copytext11Pt"/>
      </w:pPr>
      <w:r w:rsidRPr="00590883">
        <w:t>Liebherr-Components AG</w:t>
      </w:r>
      <w:r w:rsidRPr="00590883">
        <w:br/>
        <w:t>Baden / Switzerland</w:t>
      </w:r>
      <w:r w:rsidRPr="00590883">
        <w:br/>
      </w:r>
      <w:hyperlink r:id="rId18" w:history="1">
        <w:r w:rsidRPr="00590883">
          <w:rPr>
            <w:rStyle w:val="Hyperlink1"/>
            <w:lang w:val="en-US"/>
          </w:rPr>
          <w:t>www.liebherr.com</w:t>
        </w:r>
      </w:hyperlink>
    </w:p>
    <w:p w14:paraId="22D8262D" w14:textId="77777777" w:rsidR="00590883" w:rsidRPr="00590883" w:rsidRDefault="00590883" w:rsidP="00590883">
      <w:pPr>
        <w:pStyle w:val="Bulletpoints11Pt"/>
        <w:numPr>
          <w:ilvl w:val="0"/>
          <w:numId w:val="5"/>
        </w:numPr>
      </w:pPr>
    </w:p>
    <w:sectPr w:rsidR="00590883" w:rsidRPr="00590883" w:rsidSect="00E847CC">
      <w:headerReference w:type="default" r:id="rId19"/>
      <w:footerReference w:type="default" r:id="rId20"/>
      <w:pgSz w:w="11906" w:h="16838"/>
      <w:pgMar w:top="851" w:right="851" w:bottom="1276" w:left="851"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DF7DB2" w14:textId="77777777" w:rsidR="00A47A98" w:rsidRDefault="00A47A98" w:rsidP="00B81ED6">
      <w:pPr>
        <w:spacing w:after="0" w:line="240" w:lineRule="auto"/>
      </w:pPr>
      <w:r>
        <w:separator/>
      </w:r>
    </w:p>
  </w:endnote>
  <w:endnote w:type="continuationSeparator" w:id="0">
    <w:p w14:paraId="74F5AAFA" w14:textId="77777777" w:rsidR="00A47A98" w:rsidRDefault="00A47A98" w:rsidP="00B81E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ebherr Text Office">
    <w:panose1 w:val="020B0604030000000000"/>
    <w:charset w:val="00"/>
    <w:family w:val="swiss"/>
    <w:pitch w:val="variable"/>
    <w:sig w:usb0="00000207" w:usb1="02000001" w:usb2="00000000" w:usb3="00000000" w:csb0="00000097"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A9EA5" w14:textId="122C049B" w:rsidR="00DF40C0" w:rsidRPr="00E847CC" w:rsidRDefault="0093605C" w:rsidP="00E847CC">
    <w:pPr>
      <w:pStyle w:val="zzPageNumberLine"/>
      <w:rPr>
        <w:rFonts w:ascii="Arial" w:hAnsi="Arial" w:cs="Arial"/>
      </w:rPr>
    </w:pPr>
    <w:r w:rsidRPr="0093605C">
      <w:rPr>
        <w:rFonts w:ascii="Arial" w:hAnsi="Arial" w:cs="Arial"/>
      </w:rPr>
      <w:fldChar w:fldCharType="begin"/>
    </w:r>
    <w:r w:rsidRPr="0093605C">
      <w:rPr>
        <w:rFonts w:ascii="Arial" w:hAnsi="Arial" w:cs="Arial"/>
      </w:rPr>
      <w:instrText xml:space="preserve"> IF  &gt; 1 "/" "" </w:instrText>
    </w:r>
    <w:r w:rsidRPr="0093605C">
      <w:rPr>
        <w:rFonts w:ascii="Arial" w:hAnsi="Arial" w:cs="Arial"/>
      </w:rPr>
      <w:fldChar w:fldCharType="separate"/>
    </w:r>
    <w:r w:rsidR="008E1FED">
      <w:rPr>
        <w:rFonts w:ascii="Arial" w:hAnsi="Arial" w:cs="Arial"/>
        <w:noProof/>
      </w:rPr>
      <w:t>4</w:t>
    </w:r>
    <w:r w:rsidR="008E1FED" w:rsidRPr="0093605C">
      <w:rPr>
        <w:rFonts w:ascii="Arial" w:hAnsi="Arial" w:cs="Arial"/>
        <w:noProof/>
      </w:rPr>
      <w:t>/</w:t>
    </w:r>
    <w:r w:rsidR="008E1FED">
      <w:rPr>
        <w:rFonts w:ascii="Arial" w:hAnsi="Arial" w:cs="Arial"/>
        <w:noProof/>
      </w:rPr>
      <w:t>4</w:t>
    </w:r>
    <w:r w:rsidRPr="0093605C">
      <w:rPr>
        <w:rFonts w:ascii="Arial" w:hAnsi="Arial" w:cs="Aria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904DBD" w14:textId="77777777" w:rsidR="00A47A98" w:rsidRDefault="00A47A98" w:rsidP="00B81ED6">
      <w:pPr>
        <w:spacing w:after="0" w:line="240" w:lineRule="auto"/>
      </w:pPr>
      <w:r>
        <w:separator/>
      </w:r>
    </w:p>
  </w:footnote>
  <w:footnote w:type="continuationSeparator" w:id="0">
    <w:p w14:paraId="6770EFBB" w14:textId="77777777" w:rsidR="00A47A98" w:rsidRDefault="00A47A98" w:rsidP="00B81E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24705D" w14:textId="77777777" w:rsidR="00E847CC" w:rsidRDefault="00E847CC">
    <w:pPr>
      <w:pStyle w:val="Kopfzeile"/>
    </w:pPr>
    <w:r>
      <w:tab/>
    </w:r>
    <w:r>
      <w:tab/>
    </w:r>
    <w:r>
      <w:ptab w:relativeTo="margin" w:alignment="right" w:leader="none"/>
    </w:r>
    <w:r>
      <w:rPr>
        <w:noProof/>
        <w:lang w:eastAsia="de-DE"/>
      </w:rPr>
      <w:drawing>
        <wp:inline distT="0" distB="0" distL="0" distR="0" wp14:anchorId="7405AD93" wp14:editId="18E0C928">
          <wp:extent cx="2167200" cy="270000"/>
          <wp:effectExtent l="0" t="0" r="508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ebherr_Brand_EMF_pos.e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2167200" cy="270000"/>
                  </a:xfrm>
                  <a:prstGeom prst="rect">
                    <a:avLst/>
                  </a:prstGeom>
                </pic:spPr>
              </pic:pic>
            </a:graphicData>
          </a:graphic>
        </wp:inline>
      </w:drawing>
    </w:r>
    <w:r>
      <w:tab/>
    </w:r>
    <w:r>
      <w:tab/>
    </w:r>
  </w:p>
  <w:p w14:paraId="06F7894A" w14:textId="77777777" w:rsidR="00E847CC" w:rsidRDefault="00E847C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769D9"/>
    <w:multiLevelType w:val="hybridMultilevel"/>
    <w:tmpl w:val="4BB83742"/>
    <w:numStyleLink w:val="ImportedStyle2"/>
  </w:abstractNum>
  <w:abstractNum w:abstractNumId="1" w15:restartNumberingAfterBreak="0">
    <w:nsid w:val="08A67256"/>
    <w:multiLevelType w:val="multilevel"/>
    <w:tmpl w:val="A12230F4"/>
    <w:styleLink w:val="TitleRuleListStyleLH"/>
    <w:lvl w:ilvl="0">
      <w:start w:val="1"/>
      <w:numFmt w:val="bullet"/>
      <w:pStyle w:val="TitleRuleLH"/>
      <w:suff w:val="nothing"/>
      <w:lvlText w:val="⸺"/>
      <w:lvlJc w:val="left"/>
      <w:pPr>
        <w:ind w:left="0" w:firstLine="0"/>
      </w:pPr>
      <w:rPr>
        <w:rFonts w:ascii="Liebherr Text Office" w:hAnsi="Liebherr Text Office" w:hint="default"/>
        <w:b/>
        <w:i w:val="0"/>
        <w:position w:val="0"/>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 w15:restartNumberingAfterBreak="0">
    <w:nsid w:val="0DB049C3"/>
    <w:multiLevelType w:val="hybridMultilevel"/>
    <w:tmpl w:val="C4522C40"/>
    <w:lvl w:ilvl="0" w:tplc="DC74CFF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A2E7D2B"/>
    <w:multiLevelType w:val="hybridMultilevel"/>
    <w:tmpl w:val="B6B279B4"/>
    <w:lvl w:ilvl="0" w:tplc="5922D504">
      <w:numFmt w:val="bullet"/>
      <w:pStyle w:val="Bulletpoints11Pt1"/>
      <w:lvlText w:val="–"/>
      <w:lvlJc w:val="left"/>
      <w:pPr>
        <w:ind w:left="786" w:hanging="360"/>
      </w:pPr>
      <w:rPr>
        <w:rFonts w:ascii="Calibri" w:eastAsiaTheme="minorHAnsi" w:hAnsi="Calibri" w:cs="Calibri" w:hint="default"/>
        <w:b/>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4" w15:restartNumberingAfterBreak="0">
    <w:nsid w:val="4331627A"/>
    <w:multiLevelType w:val="hybridMultilevel"/>
    <w:tmpl w:val="4BB83742"/>
    <w:styleLink w:val="ImportedStyle2"/>
    <w:lvl w:ilvl="0" w:tplc="4D3C7774">
      <w:start w:val="1"/>
      <w:numFmt w:val="bullet"/>
      <w:lvlText w:val="-"/>
      <w:lvlJc w:val="left"/>
      <w:pPr>
        <w:ind w:left="72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1" w:tplc="3B4A104A">
      <w:start w:val="1"/>
      <w:numFmt w:val="bullet"/>
      <w:lvlText w:val="o"/>
      <w:lvlJc w:val="left"/>
      <w:pPr>
        <w:ind w:left="144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tplc="46140130">
      <w:start w:val="1"/>
      <w:numFmt w:val="bullet"/>
      <w:lvlText w:val="▪"/>
      <w:lvlJc w:val="left"/>
      <w:pPr>
        <w:ind w:left="216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tplc="CF6C02FE">
      <w:start w:val="1"/>
      <w:numFmt w:val="bullet"/>
      <w:lvlText w:val="•"/>
      <w:lvlJc w:val="left"/>
      <w:pPr>
        <w:ind w:left="288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tplc="02747E2E">
      <w:start w:val="1"/>
      <w:numFmt w:val="bullet"/>
      <w:lvlText w:val="o"/>
      <w:lvlJc w:val="left"/>
      <w:pPr>
        <w:ind w:left="360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tplc="41722A96">
      <w:start w:val="1"/>
      <w:numFmt w:val="bullet"/>
      <w:lvlText w:val="▪"/>
      <w:lvlJc w:val="left"/>
      <w:pPr>
        <w:ind w:left="432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tplc="405215F6">
      <w:start w:val="1"/>
      <w:numFmt w:val="bullet"/>
      <w:lvlText w:val="•"/>
      <w:lvlJc w:val="left"/>
      <w:pPr>
        <w:ind w:left="504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tplc="D12C288A">
      <w:start w:val="1"/>
      <w:numFmt w:val="bullet"/>
      <w:lvlText w:val="o"/>
      <w:lvlJc w:val="left"/>
      <w:pPr>
        <w:ind w:left="576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tplc="7D06AEC2">
      <w:start w:val="1"/>
      <w:numFmt w:val="bullet"/>
      <w:lvlText w:val="▪"/>
      <w:lvlJc w:val="left"/>
      <w:pPr>
        <w:ind w:left="6480" w:hanging="360"/>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47513EFA"/>
    <w:multiLevelType w:val="multilevel"/>
    <w:tmpl w:val="A12230F4"/>
    <w:numStyleLink w:val="TitleRuleListStyleLH"/>
  </w:abstractNum>
  <w:num w:numId="1" w16cid:durableId="269746406">
    <w:abstractNumId w:val="1"/>
  </w:num>
  <w:num w:numId="2" w16cid:durableId="1285230955">
    <w:abstractNumId w:val="5"/>
    <w:lvlOverride w:ilvl="0">
      <w:lvl w:ilvl="0">
        <w:start w:val="1"/>
        <w:numFmt w:val="bullet"/>
        <w:pStyle w:val="TitleRuleLH"/>
        <w:suff w:val="nothing"/>
        <w:lvlText w:val="⸺"/>
        <w:lvlJc w:val="left"/>
        <w:pPr>
          <w:ind w:left="0" w:firstLine="0"/>
        </w:pPr>
        <w:rPr>
          <w:rFonts w:ascii="Arial" w:hAnsi="Arial" w:cs="Arial" w:hint="default"/>
          <w:b/>
          <w:i w:val="0"/>
          <w:position w:val="0"/>
        </w:rPr>
      </w:lvl>
    </w:lvlOverride>
  </w:num>
  <w:num w:numId="3" w16cid:durableId="1549947992">
    <w:abstractNumId w:val="3"/>
  </w:num>
  <w:num w:numId="4" w16cid:durableId="462162166">
    <w:abstractNumId w:val="3"/>
  </w:num>
  <w:num w:numId="5" w16cid:durableId="1045368124">
    <w:abstractNumId w:val="2"/>
  </w:num>
  <w:num w:numId="6" w16cid:durableId="457377122">
    <w:abstractNumId w:val="3"/>
  </w:num>
  <w:num w:numId="7" w16cid:durableId="1820882109">
    <w:abstractNumId w:val="4"/>
  </w:num>
  <w:num w:numId="8" w16cid:durableId="805654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1ED6"/>
    <w:rsid w:val="000326FA"/>
    <w:rsid w:val="00033002"/>
    <w:rsid w:val="00066E54"/>
    <w:rsid w:val="00070A88"/>
    <w:rsid w:val="00072BA9"/>
    <w:rsid w:val="00082A1B"/>
    <w:rsid w:val="00084585"/>
    <w:rsid w:val="000D63F0"/>
    <w:rsid w:val="000E3C3F"/>
    <w:rsid w:val="001214ED"/>
    <w:rsid w:val="001218B1"/>
    <w:rsid w:val="001331DB"/>
    <w:rsid w:val="001419B4"/>
    <w:rsid w:val="00145DB7"/>
    <w:rsid w:val="0019716D"/>
    <w:rsid w:val="001A160D"/>
    <w:rsid w:val="001A1AD7"/>
    <w:rsid w:val="00201AF9"/>
    <w:rsid w:val="0020421C"/>
    <w:rsid w:val="00211B3D"/>
    <w:rsid w:val="00243A0E"/>
    <w:rsid w:val="00262656"/>
    <w:rsid w:val="002638A1"/>
    <w:rsid w:val="00282521"/>
    <w:rsid w:val="00290A79"/>
    <w:rsid w:val="00291A1A"/>
    <w:rsid w:val="0029610D"/>
    <w:rsid w:val="002C3350"/>
    <w:rsid w:val="00327624"/>
    <w:rsid w:val="003524D2"/>
    <w:rsid w:val="00354D46"/>
    <w:rsid w:val="00391612"/>
    <w:rsid w:val="003936A6"/>
    <w:rsid w:val="003D6573"/>
    <w:rsid w:val="003E5383"/>
    <w:rsid w:val="003E69B2"/>
    <w:rsid w:val="003F5C49"/>
    <w:rsid w:val="004035DD"/>
    <w:rsid w:val="004503A3"/>
    <w:rsid w:val="00482DD3"/>
    <w:rsid w:val="004C669D"/>
    <w:rsid w:val="004E0DDD"/>
    <w:rsid w:val="00556698"/>
    <w:rsid w:val="00590883"/>
    <w:rsid w:val="0059266E"/>
    <w:rsid w:val="00596BCC"/>
    <w:rsid w:val="005C54FA"/>
    <w:rsid w:val="0062450B"/>
    <w:rsid w:val="00651A08"/>
    <w:rsid w:val="00652DF9"/>
    <w:rsid w:val="00652E53"/>
    <w:rsid w:val="006832F1"/>
    <w:rsid w:val="006E1792"/>
    <w:rsid w:val="006F4789"/>
    <w:rsid w:val="0072637C"/>
    <w:rsid w:val="00747169"/>
    <w:rsid w:val="00761197"/>
    <w:rsid w:val="007C23B0"/>
    <w:rsid w:val="007C2DD9"/>
    <w:rsid w:val="007F2586"/>
    <w:rsid w:val="0080155F"/>
    <w:rsid w:val="00824226"/>
    <w:rsid w:val="008E1FED"/>
    <w:rsid w:val="008F69E0"/>
    <w:rsid w:val="008F6FA6"/>
    <w:rsid w:val="009169F9"/>
    <w:rsid w:val="00931706"/>
    <w:rsid w:val="0093605C"/>
    <w:rsid w:val="00944F09"/>
    <w:rsid w:val="00965077"/>
    <w:rsid w:val="00974D31"/>
    <w:rsid w:val="009A3D17"/>
    <w:rsid w:val="009A6BF7"/>
    <w:rsid w:val="00A129B1"/>
    <w:rsid w:val="00A21B87"/>
    <w:rsid w:val="00A261BF"/>
    <w:rsid w:val="00A47A98"/>
    <w:rsid w:val="00A63444"/>
    <w:rsid w:val="00AB2D78"/>
    <w:rsid w:val="00AC2129"/>
    <w:rsid w:val="00AD1B5B"/>
    <w:rsid w:val="00AD32AA"/>
    <w:rsid w:val="00AF1F99"/>
    <w:rsid w:val="00B179DD"/>
    <w:rsid w:val="00B21BE1"/>
    <w:rsid w:val="00B3758F"/>
    <w:rsid w:val="00B502E4"/>
    <w:rsid w:val="00B81ED6"/>
    <w:rsid w:val="00BB0BFF"/>
    <w:rsid w:val="00BD7045"/>
    <w:rsid w:val="00BE693A"/>
    <w:rsid w:val="00BF213E"/>
    <w:rsid w:val="00BF63E1"/>
    <w:rsid w:val="00C05771"/>
    <w:rsid w:val="00C229EE"/>
    <w:rsid w:val="00C464EC"/>
    <w:rsid w:val="00C77574"/>
    <w:rsid w:val="00CA26D2"/>
    <w:rsid w:val="00CB251D"/>
    <w:rsid w:val="00CC59F1"/>
    <w:rsid w:val="00D25322"/>
    <w:rsid w:val="00D300D5"/>
    <w:rsid w:val="00D63B50"/>
    <w:rsid w:val="00D70D3C"/>
    <w:rsid w:val="00D81333"/>
    <w:rsid w:val="00D82283"/>
    <w:rsid w:val="00DF40C0"/>
    <w:rsid w:val="00E000BB"/>
    <w:rsid w:val="00E030D8"/>
    <w:rsid w:val="00E260E6"/>
    <w:rsid w:val="00E32363"/>
    <w:rsid w:val="00E34D3D"/>
    <w:rsid w:val="00E4C9BF"/>
    <w:rsid w:val="00E53C99"/>
    <w:rsid w:val="00E55540"/>
    <w:rsid w:val="00E7329B"/>
    <w:rsid w:val="00E847CC"/>
    <w:rsid w:val="00E957FB"/>
    <w:rsid w:val="00EA26F3"/>
    <w:rsid w:val="00F34658"/>
    <w:rsid w:val="00F70E5A"/>
    <w:rsid w:val="00F95CED"/>
    <w:rsid w:val="00F95F6B"/>
    <w:rsid w:val="00F969DB"/>
    <w:rsid w:val="00FB104E"/>
    <w:rsid w:val="00FB5DB5"/>
    <w:rsid w:val="01F35397"/>
    <w:rsid w:val="020D65F4"/>
    <w:rsid w:val="03679AA6"/>
    <w:rsid w:val="03A74270"/>
    <w:rsid w:val="04393126"/>
    <w:rsid w:val="04574DDE"/>
    <w:rsid w:val="048FED7B"/>
    <w:rsid w:val="04CEE7DA"/>
    <w:rsid w:val="05FEFFB1"/>
    <w:rsid w:val="067B50D4"/>
    <w:rsid w:val="074AEF1C"/>
    <w:rsid w:val="07CD8180"/>
    <w:rsid w:val="0881C6A5"/>
    <w:rsid w:val="0A0E15DF"/>
    <w:rsid w:val="0A709AF1"/>
    <w:rsid w:val="0B39AB21"/>
    <w:rsid w:val="0B49CF48"/>
    <w:rsid w:val="0BE8141D"/>
    <w:rsid w:val="0D025364"/>
    <w:rsid w:val="0D6958AC"/>
    <w:rsid w:val="0E93B52F"/>
    <w:rsid w:val="106B504B"/>
    <w:rsid w:val="109CA115"/>
    <w:rsid w:val="11991FE4"/>
    <w:rsid w:val="11CCCC36"/>
    <w:rsid w:val="11D2D217"/>
    <w:rsid w:val="1500F4BF"/>
    <w:rsid w:val="180D85F4"/>
    <w:rsid w:val="19951744"/>
    <w:rsid w:val="1F010C76"/>
    <w:rsid w:val="1F421435"/>
    <w:rsid w:val="1FB1213B"/>
    <w:rsid w:val="1FDB7508"/>
    <w:rsid w:val="208FCAFA"/>
    <w:rsid w:val="21406EB2"/>
    <w:rsid w:val="220FE09D"/>
    <w:rsid w:val="23D7896B"/>
    <w:rsid w:val="251193E8"/>
    <w:rsid w:val="26110294"/>
    <w:rsid w:val="27816DA1"/>
    <w:rsid w:val="282F0F80"/>
    <w:rsid w:val="28A857D0"/>
    <w:rsid w:val="29941039"/>
    <w:rsid w:val="29B7777F"/>
    <w:rsid w:val="2B5E78B2"/>
    <w:rsid w:val="2CBAEE8B"/>
    <w:rsid w:val="2CE7E218"/>
    <w:rsid w:val="2D63144E"/>
    <w:rsid w:val="2D8212A8"/>
    <w:rsid w:val="2DC6E158"/>
    <w:rsid w:val="2DE4F1E9"/>
    <w:rsid w:val="2E01B332"/>
    <w:rsid w:val="2E994BDE"/>
    <w:rsid w:val="2EDCEB87"/>
    <w:rsid w:val="3178B4B9"/>
    <w:rsid w:val="3202653E"/>
    <w:rsid w:val="32F6D95A"/>
    <w:rsid w:val="336E93A6"/>
    <w:rsid w:val="33A370D2"/>
    <w:rsid w:val="33C6B650"/>
    <w:rsid w:val="33FCF698"/>
    <w:rsid w:val="34500C5E"/>
    <w:rsid w:val="354CC691"/>
    <w:rsid w:val="35F5C933"/>
    <w:rsid w:val="36C66487"/>
    <w:rsid w:val="3778663E"/>
    <w:rsid w:val="37E54D6C"/>
    <w:rsid w:val="38CD5535"/>
    <w:rsid w:val="3932201B"/>
    <w:rsid w:val="39A37E7C"/>
    <w:rsid w:val="39D57C46"/>
    <w:rsid w:val="3B9AFD6B"/>
    <w:rsid w:val="3C3F3EAC"/>
    <w:rsid w:val="3CA69D66"/>
    <w:rsid w:val="3E0E3D0D"/>
    <w:rsid w:val="41659D5C"/>
    <w:rsid w:val="41B80574"/>
    <w:rsid w:val="41DACD27"/>
    <w:rsid w:val="443BDA01"/>
    <w:rsid w:val="449687AC"/>
    <w:rsid w:val="44CB0EEA"/>
    <w:rsid w:val="44D9D099"/>
    <w:rsid w:val="45B5DA3E"/>
    <w:rsid w:val="45B9B45D"/>
    <w:rsid w:val="465AFDCF"/>
    <w:rsid w:val="470A42A4"/>
    <w:rsid w:val="474DE905"/>
    <w:rsid w:val="4A4BC3C4"/>
    <w:rsid w:val="4AC44745"/>
    <w:rsid w:val="4C467F47"/>
    <w:rsid w:val="4D2D0FC8"/>
    <w:rsid w:val="4D4A6DBF"/>
    <w:rsid w:val="4E3FA47B"/>
    <w:rsid w:val="50235D38"/>
    <w:rsid w:val="5072C90E"/>
    <w:rsid w:val="507F759A"/>
    <w:rsid w:val="51129317"/>
    <w:rsid w:val="511C983F"/>
    <w:rsid w:val="53211E8B"/>
    <w:rsid w:val="57262FA7"/>
    <w:rsid w:val="57C07227"/>
    <w:rsid w:val="580FD5CE"/>
    <w:rsid w:val="594D26B5"/>
    <w:rsid w:val="59EEB7A8"/>
    <w:rsid w:val="5A001F8B"/>
    <w:rsid w:val="5ADD0178"/>
    <w:rsid w:val="5BB3BFCD"/>
    <w:rsid w:val="5BD87B40"/>
    <w:rsid w:val="5C1EAA90"/>
    <w:rsid w:val="5C8AA1BD"/>
    <w:rsid w:val="5D0DE394"/>
    <w:rsid w:val="5DDA0435"/>
    <w:rsid w:val="5EA82735"/>
    <w:rsid w:val="626B1145"/>
    <w:rsid w:val="62F87FC8"/>
    <w:rsid w:val="634EEE4A"/>
    <w:rsid w:val="64C9C8FA"/>
    <w:rsid w:val="654A30FB"/>
    <w:rsid w:val="6627C72C"/>
    <w:rsid w:val="67FFFBAC"/>
    <w:rsid w:val="6828D757"/>
    <w:rsid w:val="6832530D"/>
    <w:rsid w:val="68416DFA"/>
    <w:rsid w:val="68599AAF"/>
    <w:rsid w:val="69BB2535"/>
    <w:rsid w:val="6B848C5F"/>
    <w:rsid w:val="6CB16748"/>
    <w:rsid w:val="6D59D9C4"/>
    <w:rsid w:val="6D5BDE89"/>
    <w:rsid w:val="6D68181D"/>
    <w:rsid w:val="6D71FA17"/>
    <w:rsid w:val="6F68ACC6"/>
    <w:rsid w:val="706080C0"/>
    <w:rsid w:val="719B7DAE"/>
    <w:rsid w:val="7289A0EB"/>
    <w:rsid w:val="73D819C5"/>
    <w:rsid w:val="775A3C58"/>
    <w:rsid w:val="783DFD57"/>
    <w:rsid w:val="796521C5"/>
    <w:rsid w:val="7AC96613"/>
    <w:rsid w:val="7BA7A408"/>
    <w:rsid w:val="7BCAF9D6"/>
    <w:rsid w:val="7C4C96EC"/>
    <w:rsid w:val="7E935BF2"/>
    <w:rsid w:val="7EA41500"/>
    <w:rsid w:val="7EC8A370"/>
    <w:rsid w:val="7EFB0360"/>
    <w:rsid w:val="7EFD1B19"/>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CA9D8A"/>
  <w15:chartTrackingRefBased/>
  <w15:docId w15:val="{3094C583-7E42-4AE0-8071-BB08E1EFE6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zh-CN"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TitleLogotoprightLH">
    <w:name w:val="Title Logo top right LH"/>
    <w:rsid w:val="00B81ED6"/>
    <w:pPr>
      <w:framePr w:w="10206" w:h="1701" w:hRule="exact" w:wrap="notBeside" w:vAnchor="page" w:hAnchor="page" w:x="852" w:y="852" w:anchorLock="1"/>
      <w:spacing w:after="0" w:line="240" w:lineRule="atLeast"/>
      <w:jc w:val="right"/>
    </w:pPr>
    <w:rPr>
      <w:rFonts w:eastAsiaTheme="minorHAnsi"/>
      <w:kern w:val="12"/>
      <w:sz w:val="18"/>
      <w:szCs w:val="18"/>
      <w:lang w:val="en-GB" w:eastAsia="en-US"/>
    </w:rPr>
  </w:style>
  <w:style w:type="paragraph" w:styleId="Kopfzeile">
    <w:name w:val="header"/>
    <w:basedOn w:val="Standard"/>
    <w:link w:val="KopfzeileZchn"/>
    <w:uiPriority w:val="99"/>
    <w:unhideWhenUsed/>
    <w:rsid w:val="00B81ED6"/>
    <w:pPr>
      <w:tabs>
        <w:tab w:val="center" w:pos="4513"/>
        <w:tab w:val="right" w:pos="9026"/>
      </w:tabs>
      <w:spacing w:after="0" w:line="240" w:lineRule="auto"/>
    </w:pPr>
  </w:style>
  <w:style w:type="character" w:customStyle="1" w:styleId="KopfzeileZchn">
    <w:name w:val="Kopfzeile Zchn"/>
    <w:basedOn w:val="Absatz-Standardschriftart"/>
    <w:link w:val="Kopfzeile"/>
    <w:uiPriority w:val="99"/>
    <w:rsid w:val="00B81ED6"/>
  </w:style>
  <w:style w:type="paragraph" w:styleId="Fuzeile">
    <w:name w:val="footer"/>
    <w:basedOn w:val="Standard"/>
    <w:link w:val="FuzeileZchn"/>
    <w:uiPriority w:val="99"/>
    <w:unhideWhenUsed/>
    <w:rsid w:val="00B81ED6"/>
    <w:pPr>
      <w:tabs>
        <w:tab w:val="center" w:pos="4513"/>
        <w:tab w:val="right" w:pos="9026"/>
      </w:tabs>
      <w:spacing w:after="0" w:line="240" w:lineRule="auto"/>
    </w:pPr>
  </w:style>
  <w:style w:type="character" w:customStyle="1" w:styleId="FuzeileZchn">
    <w:name w:val="Fußzeile Zchn"/>
    <w:basedOn w:val="Absatz-Standardschriftart"/>
    <w:link w:val="Fuzeile"/>
    <w:uiPriority w:val="99"/>
    <w:rsid w:val="00B81ED6"/>
  </w:style>
  <w:style w:type="paragraph" w:customStyle="1" w:styleId="HeadlineH233Pt">
    <w:name w:val="Headline H2 33Pt"/>
    <w:basedOn w:val="Standard"/>
    <w:link w:val="HeadlineH233PtZchn"/>
    <w:qFormat/>
    <w:rsid w:val="00B81ED6"/>
    <w:pPr>
      <w:keepNext/>
      <w:keepLines/>
      <w:spacing w:after="0"/>
      <w:outlineLvl w:val="0"/>
    </w:pPr>
    <w:rPr>
      <w:rFonts w:ascii="Arial" w:eastAsiaTheme="majorEastAsia" w:hAnsi="Arial" w:cstheme="majorBidi"/>
      <w:b/>
      <w:sz w:val="66"/>
      <w:szCs w:val="32"/>
      <w:lang w:eastAsia="en-US"/>
    </w:rPr>
  </w:style>
  <w:style w:type="character" w:customStyle="1" w:styleId="HeadlineH233PtZchn">
    <w:name w:val="Headline H2 33Pt Zchn"/>
    <w:basedOn w:val="Absatz-Standardschriftart"/>
    <w:link w:val="HeadlineH233Pt"/>
    <w:rsid w:val="00B81ED6"/>
    <w:rPr>
      <w:rFonts w:ascii="Arial" w:eastAsiaTheme="majorEastAsia" w:hAnsi="Arial" w:cstheme="majorBidi"/>
      <w:b/>
      <w:sz w:val="66"/>
      <w:szCs w:val="32"/>
      <w:lang w:eastAsia="en-US"/>
    </w:rPr>
  </w:style>
  <w:style w:type="paragraph" w:customStyle="1" w:styleId="Topline16Pt">
    <w:name w:val="Topline 16Pt"/>
    <w:link w:val="Topline16PtZchn"/>
    <w:qFormat/>
    <w:rsid w:val="00B81ED6"/>
    <w:pPr>
      <w:spacing w:after="0" w:line="240" w:lineRule="auto"/>
    </w:pPr>
    <w:rPr>
      <w:rFonts w:ascii="Arial" w:eastAsiaTheme="minorHAnsi" w:hAnsi="Arial"/>
      <w:sz w:val="33"/>
      <w:szCs w:val="33"/>
      <w:lang w:val="en-US" w:eastAsia="en-US"/>
    </w:rPr>
  </w:style>
  <w:style w:type="character" w:customStyle="1" w:styleId="Topline16PtZchn">
    <w:name w:val="Topline 16Pt Zchn"/>
    <w:basedOn w:val="Absatz-Standardschriftart"/>
    <w:link w:val="Topline16Pt"/>
    <w:rsid w:val="00B81ED6"/>
    <w:rPr>
      <w:rFonts w:ascii="Arial" w:eastAsiaTheme="minorHAnsi" w:hAnsi="Arial"/>
      <w:sz w:val="33"/>
      <w:szCs w:val="33"/>
      <w:lang w:val="en-US" w:eastAsia="en-US"/>
    </w:rPr>
  </w:style>
  <w:style w:type="paragraph" w:styleId="Titel">
    <w:name w:val="Title"/>
    <w:aliases w:val="Headline H2 33Pt."/>
    <w:basedOn w:val="Standard"/>
    <w:next w:val="TitleRuleLH"/>
    <w:link w:val="TitelZchn"/>
    <w:uiPriority w:val="10"/>
    <w:qFormat/>
    <w:rsid w:val="00B81ED6"/>
    <w:pPr>
      <w:keepNext/>
      <w:keepLines/>
      <w:spacing w:after="0" w:line="199" w:lineRule="auto"/>
      <w:contextualSpacing/>
    </w:pPr>
    <w:rPr>
      <w:rFonts w:ascii="Arial" w:eastAsiaTheme="majorEastAsia" w:hAnsi="Arial" w:cstheme="majorBidi"/>
      <w:b/>
      <w:kern w:val="12"/>
      <w:sz w:val="66"/>
      <w:szCs w:val="56"/>
      <w:lang w:val="en-GB" w:eastAsia="en-US"/>
      <w14:ligatures w14:val="all"/>
    </w:rPr>
  </w:style>
  <w:style w:type="character" w:customStyle="1" w:styleId="TitelZchn">
    <w:name w:val="Titel Zchn"/>
    <w:aliases w:val="Headline H2 33Pt. Zchn"/>
    <w:basedOn w:val="Absatz-Standardschriftart"/>
    <w:link w:val="Titel"/>
    <w:uiPriority w:val="10"/>
    <w:rsid w:val="00B81ED6"/>
    <w:rPr>
      <w:rFonts w:ascii="Arial" w:eastAsiaTheme="majorEastAsia" w:hAnsi="Arial" w:cstheme="majorBidi"/>
      <w:b/>
      <w:kern w:val="12"/>
      <w:sz w:val="66"/>
      <w:szCs w:val="56"/>
      <w:lang w:val="en-GB" w:eastAsia="en-US"/>
      <w14:ligatures w14:val="all"/>
    </w:rPr>
  </w:style>
  <w:style w:type="paragraph" w:customStyle="1" w:styleId="Topline16">
    <w:name w:val="Topline 16"/>
    <w:basedOn w:val="Standard"/>
    <w:uiPriority w:val="13"/>
    <w:qFormat/>
    <w:rsid w:val="00EA26F3"/>
    <w:pPr>
      <w:keepNext/>
      <w:keepLines/>
      <w:spacing w:after="120" w:line="240" w:lineRule="auto"/>
    </w:pPr>
    <w:rPr>
      <w:rFonts w:ascii="Arial" w:eastAsiaTheme="minorHAnsi" w:hAnsi="Arial"/>
      <w:kern w:val="12"/>
      <w:sz w:val="33"/>
      <w:szCs w:val="18"/>
      <w:lang w:val="en-GB" w:eastAsia="en-US"/>
    </w:rPr>
  </w:style>
  <w:style w:type="paragraph" w:customStyle="1" w:styleId="TitleRuleLH">
    <w:name w:val="Title Rule LH"/>
    <w:basedOn w:val="Titel"/>
    <w:next w:val="Standard"/>
    <w:uiPriority w:val="11"/>
    <w:rsid w:val="00B81ED6"/>
    <w:pPr>
      <w:numPr>
        <w:numId w:val="2"/>
      </w:numPr>
    </w:pPr>
    <w:rPr>
      <w:lang w:val="en-US"/>
    </w:rPr>
  </w:style>
  <w:style w:type="numbering" w:customStyle="1" w:styleId="TitleRuleListStyleLH">
    <w:name w:val="Title Rule List Style LH"/>
    <w:uiPriority w:val="99"/>
    <w:rsid w:val="00B81ED6"/>
    <w:pPr>
      <w:numPr>
        <w:numId w:val="1"/>
      </w:numPr>
    </w:pPr>
  </w:style>
  <w:style w:type="character" w:styleId="Platzhaltertext">
    <w:name w:val="Placeholder Text"/>
    <w:basedOn w:val="Absatz-Standardschriftart"/>
    <w:uiPriority w:val="99"/>
    <w:semiHidden/>
    <w:rsid w:val="00B81ED6"/>
    <w:rPr>
      <w:color w:val="808080"/>
    </w:rPr>
  </w:style>
  <w:style w:type="paragraph" w:customStyle="1" w:styleId="Bulletpoints11Pt1">
    <w:name w:val="Bulletpoints 11Pt1"/>
    <w:basedOn w:val="Standard"/>
    <w:rsid w:val="00B81ED6"/>
    <w:pPr>
      <w:numPr>
        <w:numId w:val="3"/>
      </w:numPr>
      <w:spacing w:after="0" w:line="300" w:lineRule="exact"/>
      <w:ind w:left="782" w:hanging="357"/>
    </w:pPr>
    <w:rPr>
      <w:rFonts w:ascii="Arial" w:eastAsiaTheme="minorHAnsi" w:hAnsi="Arial" w:cs="Arial"/>
      <w:b/>
      <w:lang w:val="en-US" w:eastAsia="en-US"/>
    </w:rPr>
  </w:style>
  <w:style w:type="paragraph" w:customStyle="1" w:styleId="Copytext11Pt">
    <w:name w:val="Copytext 11Pt"/>
    <w:basedOn w:val="Standard"/>
    <w:link w:val="Copytext11PtZchn"/>
    <w:qFormat/>
    <w:rsid w:val="00B81ED6"/>
    <w:pPr>
      <w:spacing w:after="300" w:line="300" w:lineRule="exact"/>
    </w:pPr>
    <w:rPr>
      <w:rFonts w:ascii="Arial" w:eastAsia="Times New Roman" w:hAnsi="Arial" w:cs="Times New Roman"/>
      <w:szCs w:val="18"/>
      <w:lang w:val="en-US" w:eastAsia="de-DE"/>
    </w:rPr>
  </w:style>
  <w:style w:type="paragraph" w:customStyle="1" w:styleId="Copyhead11Pt">
    <w:name w:val="Copyhead 11Pt"/>
    <w:basedOn w:val="Standard"/>
    <w:link w:val="Copyhead11PtZchn"/>
    <w:qFormat/>
    <w:rsid w:val="00B81ED6"/>
    <w:pPr>
      <w:spacing w:after="300" w:line="300" w:lineRule="exact"/>
    </w:pPr>
    <w:rPr>
      <w:rFonts w:ascii="Arial" w:eastAsia="Times New Roman" w:hAnsi="Arial" w:cs="Times New Roman"/>
      <w:b/>
      <w:szCs w:val="18"/>
      <w:lang w:val="en-US" w:eastAsia="de-DE"/>
    </w:rPr>
  </w:style>
  <w:style w:type="paragraph" w:customStyle="1" w:styleId="Teaser11Pt">
    <w:name w:val="Teaser 11Pt"/>
    <w:basedOn w:val="Standard"/>
    <w:link w:val="Teaser11PtZchn"/>
    <w:qFormat/>
    <w:rsid w:val="00B81ED6"/>
    <w:pPr>
      <w:tabs>
        <w:tab w:val="left" w:pos="170"/>
      </w:tabs>
      <w:suppressAutoHyphens/>
      <w:spacing w:before="240" w:after="300" w:line="300" w:lineRule="exact"/>
    </w:pPr>
    <w:rPr>
      <w:rFonts w:ascii="Arial" w:hAnsi="Arial"/>
      <w:b/>
      <w:noProof/>
      <w:lang w:val="en-US" w:eastAsia="de-DE"/>
    </w:rPr>
  </w:style>
  <w:style w:type="character" w:customStyle="1" w:styleId="Copyhead11PtZchn">
    <w:name w:val="Copyhead 11Pt Zchn"/>
    <w:basedOn w:val="Absatz-Standardschriftart"/>
    <w:link w:val="Copyhead11Pt"/>
    <w:rsid w:val="00B81ED6"/>
    <w:rPr>
      <w:rFonts w:ascii="Arial" w:eastAsia="Times New Roman" w:hAnsi="Arial" w:cs="Times New Roman"/>
      <w:b/>
      <w:szCs w:val="18"/>
      <w:lang w:val="en-US" w:eastAsia="de-DE"/>
    </w:rPr>
  </w:style>
  <w:style w:type="character" w:customStyle="1" w:styleId="Copytext11PtZchn">
    <w:name w:val="Copytext 11Pt Zchn"/>
    <w:basedOn w:val="Absatz-Standardschriftart"/>
    <w:link w:val="Copytext11Pt"/>
    <w:rsid w:val="00B81ED6"/>
    <w:rPr>
      <w:rFonts w:ascii="Arial" w:eastAsia="Times New Roman" w:hAnsi="Arial" w:cs="Times New Roman"/>
      <w:szCs w:val="18"/>
      <w:lang w:val="en-US" w:eastAsia="de-DE"/>
    </w:rPr>
  </w:style>
  <w:style w:type="character" w:customStyle="1" w:styleId="Teaser11PtZchn">
    <w:name w:val="Teaser 11Pt Zchn"/>
    <w:basedOn w:val="Absatz-Standardschriftart"/>
    <w:link w:val="Teaser11Pt"/>
    <w:rsid w:val="00B81ED6"/>
    <w:rPr>
      <w:rFonts w:ascii="Arial" w:hAnsi="Arial"/>
      <w:b/>
      <w:noProof/>
      <w:lang w:val="en-US" w:eastAsia="de-DE"/>
    </w:rPr>
  </w:style>
  <w:style w:type="paragraph" w:customStyle="1" w:styleId="Bulletpoints11Pt">
    <w:name w:val="Bulletpoints 11Pt"/>
    <w:basedOn w:val="Bulletpoints11Pt1"/>
    <w:link w:val="Bulletpoints11PtZchn"/>
    <w:qFormat/>
    <w:rsid w:val="00B81ED6"/>
    <w:pPr>
      <w:ind w:left="786" w:hanging="360"/>
    </w:pPr>
  </w:style>
  <w:style w:type="character" w:customStyle="1" w:styleId="Bulletpoints11PtZchn">
    <w:name w:val="Bulletpoints 11Pt Zchn"/>
    <w:basedOn w:val="Absatz-Standardschriftart"/>
    <w:link w:val="Bulletpoints11Pt"/>
    <w:rsid w:val="00B81ED6"/>
    <w:rPr>
      <w:rFonts w:ascii="Arial" w:eastAsiaTheme="minorHAnsi" w:hAnsi="Arial" w:cs="Arial"/>
      <w:b/>
      <w:lang w:val="en-US" w:eastAsia="en-US"/>
    </w:rPr>
  </w:style>
  <w:style w:type="paragraph" w:customStyle="1" w:styleId="BoilerplateCopyhead9Pt">
    <w:name w:val="Boilerplate Copyhead 9Pt"/>
    <w:link w:val="BoilerplateCopyhead9PtZchn"/>
    <w:qFormat/>
    <w:rsid w:val="00B81ED6"/>
    <w:pPr>
      <w:spacing w:after="240" w:line="240" w:lineRule="exact"/>
    </w:pPr>
    <w:rPr>
      <w:rFonts w:ascii="Arial" w:eastAsia="Times New Roman" w:hAnsi="Arial" w:cs="Times New Roman"/>
      <w:b/>
      <w:sz w:val="18"/>
      <w:szCs w:val="18"/>
      <w:lang w:val="en-US" w:eastAsia="de-DE"/>
    </w:rPr>
  </w:style>
  <w:style w:type="character" w:customStyle="1" w:styleId="BoilerplateCopyhead9PtZchn">
    <w:name w:val="Boilerplate Copyhead 9Pt Zchn"/>
    <w:basedOn w:val="Absatz-Standardschriftart"/>
    <w:link w:val="BoilerplateCopyhead9Pt"/>
    <w:rsid w:val="00B81ED6"/>
    <w:rPr>
      <w:rFonts w:ascii="Arial" w:eastAsia="Times New Roman" w:hAnsi="Arial" w:cs="Times New Roman"/>
      <w:b/>
      <w:sz w:val="18"/>
      <w:szCs w:val="18"/>
      <w:lang w:val="en-US" w:eastAsia="de-DE"/>
    </w:rPr>
  </w:style>
  <w:style w:type="paragraph" w:customStyle="1" w:styleId="BoilerplateCopytext9Pt">
    <w:name w:val="Boilerplate Copytext 9Pt"/>
    <w:link w:val="BoilerplateCopytext9PtZchn"/>
    <w:qFormat/>
    <w:rsid w:val="00B81ED6"/>
    <w:pPr>
      <w:spacing w:after="240" w:line="240" w:lineRule="exact"/>
    </w:pPr>
    <w:rPr>
      <w:rFonts w:ascii="Arial" w:eastAsia="Times New Roman" w:hAnsi="Arial" w:cs="Times New Roman"/>
      <w:sz w:val="18"/>
      <w:szCs w:val="18"/>
      <w:lang w:val="en-US" w:eastAsia="de-DE"/>
    </w:rPr>
  </w:style>
  <w:style w:type="paragraph" w:customStyle="1" w:styleId="Caption9Pt">
    <w:name w:val="Caption 9Pt"/>
    <w:basedOn w:val="Standard"/>
    <w:link w:val="Caption9PtZchn"/>
    <w:qFormat/>
    <w:rsid w:val="00B81ED6"/>
    <w:rPr>
      <w:rFonts w:ascii="Arial" w:eastAsiaTheme="minorHAnsi" w:hAnsi="Arial" w:cs="Arial"/>
      <w:sz w:val="18"/>
      <w:szCs w:val="18"/>
      <w:lang w:eastAsia="en-US"/>
    </w:rPr>
  </w:style>
  <w:style w:type="character" w:customStyle="1" w:styleId="BoilerplateCopytext9PtZchn">
    <w:name w:val="Boilerplate Copytext 9Pt Zchn"/>
    <w:basedOn w:val="Absatz-Standardschriftart"/>
    <w:link w:val="BoilerplateCopytext9Pt"/>
    <w:rsid w:val="00B81ED6"/>
    <w:rPr>
      <w:rFonts w:ascii="Arial" w:eastAsia="Times New Roman" w:hAnsi="Arial" w:cs="Times New Roman"/>
      <w:sz w:val="18"/>
      <w:szCs w:val="18"/>
      <w:lang w:val="en-US" w:eastAsia="de-DE"/>
    </w:rPr>
  </w:style>
  <w:style w:type="character" w:customStyle="1" w:styleId="Caption9PtZchn">
    <w:name w:val="Caption 9Pt Zchn"/>
    <w:basedOn w:val="Absatz-Standardschriftart"/>
    <w:link w:val="Caption9Pt"/>
    <w:rsid w:val="00B81ED6"/>
    <w:rPr>
      <w:rFonts w:ascii="Arial" w:eastAsiaTheme="minorHAnsi" w:hAnsi="Arial" w:cs="Arial"/>
      <w:sz w:val="18"/>
      <w:szCs w:val="18"/>
      <w:lang w:eastAsia="en-US"/>
    </w:rPr>
  </w:style>
  <w:style w:type="table" w:styleId="Tabellenraster">
    <w:name w:val="Table Grid"/>
    <w:basedOn w:val="NormaleTabelle"/>
    <w:uiPriority w:val="59"/>
    <w:rsid w:val="00B81ED6"/>
    <w:pPr>
      <w:spacing w:after="0" w:line="240" w:lineRule="auto"/>
    </w:pPr>
    <w:rPr>
      <w:rFonts w:ascii="CG Times (WN)" w:eastAsia="Times New Roman" w:hAnsi="CG Times (W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ld">
    <w:name w:val="bild"/>
    <w:rsid w:val="00B81ED6"/>
    <w:pPr>
      <w:spacing w:after="0" w:line="240" w:lineRule="auto"/>
    </w:pPr>
    <w:rPr>
      <w:rFonts w:ascii="Arial" w:hAnsi="Arial"/>
      <w:b/>
      <w:sz w:val="12"/>
      <w:szCs w:val="18"/>
      <w:lang w:eastAsia="de-DE"/>
    </w:rPr>
  </w:style>
  <w:style w:type="character" w:styleId="Hyperlink">
    <w:name w:val="Hyperlink"/>
    <w:basedOn w:val="Absatz-Standardschriftart"/>
    <w:unhideWhenUsed/>
    <w:rsid w:val="00B81ED6"/>
    <w:rPr>
      <w:color w:val="0563C1" w:themeColor="hyperlink"/>
      <w:u w:val="single"/>
    </w:rPr>
  </w:style>
  <w:style w:type="paragraph" w:customStyle="1" w:styleId="zzPageNumberLine">
    <w:name w:val="zz_PageNumberLine"/>
    <w:basedOn w:val="Fuzeile"/>
    <w:uiPriority w:val="99"/>
    <w:rsid w:val="0093605C"/>
    <w:pPr>
      <w:tabs>
        <w:tab w:val="clear" w:pos="4513"/>
        <w:tab w:val="clear" w:pos="9026"/>
        <w:tab w:val="center" w:pos="4536"/>
        <w:tab w:val="right" w:pos="9072"/>
      </w:tabs>
      <w:spacing w:before="480" w:line="240" w:lineRule="exact"/>
      <w:contextualSpacing/>
      <w:jc w:val="right"/>
    </w:pPr>
    <w:rPr>
      <w:rFonts w:eastAsiaTheme="minorHAnsi"/>
      <w:kern w:val="12"/>
      <w:sz w:val="18"/>
      <w:szCs w:val="18"/>
      <w:lang w:val="en-GB" w:eastAsia="en-US"/>
    </w:rPr>
  </w:style>
  <w:style w:type="character" w:styleId="NichtaufgelsteErwhnung">
    <w:name w:val="Unresolved Mention"/>
    <w:basedOn w:val="Absatz-Standardschriftart"/>
    <w:uiPriority w:val="99"/>
    <w:semiHidden/>
    <w:unhideWhenUsed/>
    <w:rsid w:val="00A21B87"/>
    <w:rPr>
      <w:color w:val="605E5C"/>
      <w:shd w:val="clear" w:color="auto" w:fill="E1DFDD"/>
    </w:rPr>
  </w:style>
  <w:style w:type="paragraph" w:styleId="StandardWeb">
    <w:name w:val="Normal (Web)"/>
    <w:basedOn w:val="Standard"/>
    <w:uiPriority w:val="99"/>
    <w:semiHidden/>
    <w:unhideWhenUsed/>
    <w:rsid w:val="00A21B87"/>
    <w:rPr>
      <w:rFonts w:ascii="Times New Roman" w:hAnsi="Times New Roman" w:cs="Times New Roman"/>
      <w:sz w:val="24"/>
      <w:szCs w:val="24"/>
    </w:rPr>
  </w:style>
  <w:style w:type="paragraph" w:styleId="berarbeitung">
    <w:name w:val="Revision"/>
    <w:hidden/>
    <w:uiPriority w:val="99"/>
    <w:semiHidden/>
    <w:rsid w:val="00652DF9"/>
    <w:pPr>
      <w:spacing w:after="0" w:line="240" w:lineRule="auto"/>
    </w:pPr>
  </w:style>
  <w:style w:type="character" w:customStyle="1" w:styleId="CommentReference">
    <w:name w:val="Comment Reference"/>
    <w:basedOn w:val="Absatz-Standardschriftart"/>
    <w:uiPriority w:val="99"/>
    <w:semiHidden/>
    <w:unhideWhenUsed/>
    <w:rsid w:val="00652DF9"/>
    <w:rPr>
      <w:sz w:val="16"/>
      <w:szCs w:val="16"/>
    </w:rPr>
  </w:style>
  <w:style w:type="paragraph" w:customStyle="1" w:styleId="CommentText">
    <w:name w:val="Comment Text"/>
    <w:basedOn w:val="Standard"/>
    <w:link w:val="CommentTextChar"/>
    <w:uiPriority w:val="99"/>
    <w:unhideWhenUsed/>
    <w:rsid w:val="00652DF9"/>
    <w:pPr>
      <w:spacing w:line="240" w:lineRule="auto"/>
    </w:pPr>
    <w:rPr>
      <w:sz w:val="20"/>
      <w:szCs w:val="20"/>
    </w:rPr>
  </w:style>
  <w:style w:type="character" w:customStyle="1" w:styleId="CommentTextChar">
    <w:name w:val="Comment Text Char"/>
    <w:basedOn w:val="Absatz-Standardschriftart"/>
    <w:link w:val="CommentText"/>
    <w:uiPriority w:val="99"/>
    <w:rsid w:val="00652DF9"/>
    <w:rPr>
      <w:sz w:val="20"/>
      <w:szCs w:val="20"/>
    </w:rPr>
  </w:style>
  <w:style w:type="paragraph" w:customStyle="1" w:styleId="CommentSubject">
    <w:name w:val="Comment Subject"/>
    <w:basedOn w:val="CommentText"/>
    <w:next w:val="CommentText"/>
    <w:link w:val="CommentSubjectChar"/>
    <w:uiPriority w:val="99"/>
    <w:semiHidden/>
    <w:unhideWhenUsed/>
    <w:rsid w:val="00652DF9"/>
    <w:rPr>
      <w:b/>
      <w:bCs/>
    </w:rPr>
  </w:style>
  <w:style w:type="character" w:customStyle="1" w:styleId="CommentSubjectChar">
    <w:name w:val="Comment Subject Char"/>
    <w:basedOn w:val="CommentTextChar"/>
    <w:link w:val="CommentSubject"/>
    <w:uiPriority w:val="99"/>
    <w:semiHidden/>
    <w:rsid w:val="00652DF9"/>
    <w:rPr>
      <w:b/>
      <w:bCs/>
      <w:sz w:val="20"/>
      <w:szCs w:val="20"/>
    </w:rPr>
  </w:style>
  <w:style w:type="paragraph" w:styleId="Kommentartext">
    <w:name w:val="annotation text"/>
    <w:basedOn w:val="Standard"/>
    <w:link w:val="KommentartextZchn"/>
    <w:uiPriority w:val="99"/>
    <w:semiHidden/>
    <w:unhideWhenUsed/>
    <w:pPr>
      <w:spacing w:line="240" w:lineRule="auto"/>
    </w:pPr>
    <w:rPr>
      <w:sz w:val="20"/>
      <w:szCs w:val="20"/>
    </w:rPr>
  </w:style>
  <w:style w:type="character" w:customStyle="1" w:styleId="KommentartextZchn">
    <w:name w:val="Kommentartext Zchn"/>
    <w:basedOn w:val="Absatz-Standardschriftart"/>
    <w:link w:val="Kommentartext"/>
    <w:uiPriority w:val="99"/>
    <w:semiHidden/>
    <w:rPr>
      <w:sz w:val="20"/>
      <w:szCs w:val="20"/>
    </w:rPr>
  </w:style>
  <w:style w:type="character" w:styleId="Kommentarzeichen">
    <w:name w:val="annotation reference"/>
    <w:basedOn w:val="Absatz-Standardschriftart"/>
    <w:uiPriority w:val="99"/>
    <w:semiHidden/>
    <w:unhideWhenUsed/>
    <w:rPr>
      <w:sz w:val="16"/>
      <w:szCs w:val="16"/>
    </w:rPr>
  </w:style>
  <w:style w:type="numbering" w:customStyle="1" w:styleId="ImportedStyle2">
    <w:name w:val="Imported Style 2"/>
    <w:rsid w:val="00590883"/>
    <w:pPr>
      <w:numPr>
        <w:numId w:val="7"/>
      </w:numPr>
    </w:pPr>
  </w:style>
  <w:style w:type="character" w:customStyle="1" w:styleId="Hyperlink0">
    <w:name w:val="Hyperlink.0"/>
    <w:basedOn w:val="Absatz-Standardschriftart"/>
    <w:rsid w:val="00590883"/>
    <w:rPr>
      <w:rFonts w:ascii="Arial" w:eastAsia="Arial" w:hAnsi="Arial" w:cs="Arial"/>
      <w:outline w:val="0"/>
      <w:color w:val="0563C1"/>
      <w:u w:val="single" w:color="0563C1"/>
      <w:lang w:val="de-DE"/>
    </w:rPr>
  </w:style>
  <w:style w:type="character" w:customStyle="1" w:styleId="Hyperlink1">
    <w:name w:val="Hyperlink.1"/>
    <w:basedOn w:val="Absatz-Standardschriftart"/>
    <w:rsid w:val="00590883"/>
    <w:rPr>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5581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www.liebherr.com"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mailto:alexandra.nolde@liebherr.com"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7.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C8F3B49DA3E4045BE85884E8CBB3476" ma:contentTypeVersion="9" ma:contentTypeDescription="Create a new document." ma:contentTypeScope="" ma:versionID="30f70a9ed59596efd840ab6d41be892c">
  <xsd:schema xmlns:xsd="http://www.w3.org/2001/XMLSchema" xmlns:xs="http://www.w3.org/2001/XMLSchema" xmlns:p="http://schemas.microsoft.com/office/2006/metadata/properties" xmlns:ns2="ea8374bc-d48d-43d1-ac0e-f941f0c1857e" targetNamespace="http://schemas.microsoft.com/office/2006/metadata/properties" ma:root="true" ma:fieldsID="148b74750b9cbe7192916ec613d9a307" ns2:_="">
    <xsd:import namespace="ea8374bc-d48d-43d1-ac0e-f941f0c1857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EventHashCode" minOccurs="0"/>
                <xsd:element ref="ns2:MediaServiceOCR" minOccurs="0"/>
                <xsd:element ref="ns2: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8374bc-d48d-43d1-ac0e-f941f0c185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fieldId="{5cf76f15-5ced-4ddc-b409-7134ff3c332f}" ma:taxonomyMulti="true" ma:sspId="00000000-0000-0000-0000-000000000000" ma:termSetId="00000000-0000-0000-0000-000000000000" ma:anchorId="00000000-0000-0000-0000-000000000000" ma:open="false" ma:isKeyword="false">
      <xsd:complexType>
        <xsd:sequence>
          <xsd:element ref="pc:Terms" minOccurs="0" maxOccurs="1"/>
        </xsd:sequence>
      </xsd:complex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a8374bc-d48d-43d1-ac0e-f941f0c1857e">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B256CD-0D87-4BE9-8C79-2D80CB4952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8374bc-d48d-43d1-ac0e-f941f0c185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9FA3829-BBFC-4C90-B141-C574325124AD}">
  <ds:schemaRefs>
    <ds:schemaRef ds:uri="http://schemas.microsoft.com/office/2006/metadata/properties"/>
    <ds:schemaRef ds:uri="http://schemas.microsoft.com/office/infopath/2007/PartnerControls"/>
    <ds:schemaRef ds:uri="ea8374bc-d48d-43d1-ac0e-f941f0c1857e"/>
  </ds:schemaRefs>
</ds:datastoreItem>
</file>

<file path=customXml/itemProps3.xml><?xml version="1.0" encoding="utf-8"?>
<ds:datastoreItem xmlns:ds="http://schemas.openxmlformats.org/officeDocument/2006/customXml" ds:itemID="{68FD2509-F1AD-4D6E-918F-EB2B1ADCA5E0}">
  <ds:schemaRefs>
    <ds:schemaRef ds:uri="http://schemas.microsoft.com/sharepoint/v3/contenttype/forms"/>
  </ds:schemaRefs>
</ds:datastoreItem>
</file>

<file path=customXml/itemProps4.xml><?xml version="1.0" encoding="utf-8"?>
<ds:datastoreItem xmlns:ds="http://schemas.openxmlformats.org/officeDocument/2006/customXml" ds:itemID="{47B9524C-C384-41B4-8474-425A4D9F89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993</Words>
  <Characters>6259</Characters>
  <Application>Microsoft Office Word</Application>
  <DocSecurity>0</DocSecurity>
  <Lines>52</Lines>
  <Paragraphs>14</Paragraphs>
  <ScaleCrop>false</ScaleCrop>
  <Company>Liebherr</Company>
  <LinksUpToDate>false</LinksUpToDate>
  <CharactersWithSpaces>7238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Headlin</dc:title>
  <dc:subject/>
  <dc:creator>Goetz Manuel (LHO)</dc:creator>
  <cp:keywords>, docId:7C28EBF268417C8CC80111D44E566F68</cp:keywords>
  <dc:description/>
  <cp:lastModifiedBy>Schenk Anja (LIN)</cp:lastModifiedBy>
  <cp:revision>4</cp:revision>
  <dcterms:created xsi:type="dcterms:W3CDTF">2026-06-12T08:19:00Z</dcterms:created>
  <dcterms:modified xsi:type="dcterms:W3CDTF">2026-06-12T09:26:00Z</dcterms:modified>
  <cp:category>Presseinformation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0x010100AC8F3B49DA3E4045BE85884E8CBB3476</vt:lpwstr>
  </property>
  <property fmtid="{D5CDD505-2E9C-101B-9397-08002B2CF9AE}" pid="3" name="docLang">
    <vt:lpwstr>de</vt:lpwstr>
  </property>
  <property fmtid="{D5CDD505-2E9C-101B-9397-08002B2CF9AE}" pid="4" name="MediaServiceImageTags">
    <vt:lpwstr/>
  </property>
  <property fmtid="{D5CDD505-2E9C-101B-9397-08002B2CF9AE}" pid="5" name="Classification">
    <vt:lpwstr>for internal use</vt:lpwstr>
  </property>
</Properties>
</file>