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12491" w14:textId="77777777" w:rsidR="00785F8A" w:rsidRPr="00A841C1" w:rsidRDefault="00785F8A" w:rsidP="00785F8A">
      <w:pPr>
        <w:pStyle w:val="Topline16Pt"/>
        <w:spacing w:before="240"/>
      </w:pPr>
      <w:r>
        <w:t>Pressemitteilung</w:t>
      </w:r>
    </w:p>
    <w:p w14:paraId="11F49556" w14:textId="507530CA" w:rsidR="00785F8A" w:rsidRPr="00A841C1" w:rsidRDefault="00916402" w:rsidP="00785F8A">
      <w:pPr>
        <w:pStyle w:val="HeadlineH233Pt"/>
        <w:spacing w:line="240" w:lineRule="auto"/>
        <w:rPr>
          <w:rFonts w:cs="Arial"/>
        </w:rPr>
      </w:pPr>
      <w:r>
        <w:t xml:space="preserve">Liebherr liefert Ersatzteile für Überholung der </w:t>
      </w:r>
      <w:r w:rsidR="00FE1F5E">
        <w:t>Niveau</w:t>
      </w:r>
      <w:r w:rsidR="003B1FB6">
        <w:t>-</w:t>
      </w:r>
      <w:proofErr w:type="spellStart"/>
      <w:r w:rsidR="00FE1F5E">
        <w:t>regulierung</w:t>
      </w:r>
      <w:r>
        <w:t>ssysteme</w:t>
      </w:r>
      <w:proofErr w:type="spellEnd"/>
      <w:r>
        <w:t xml:space="preserve"> in der </w:t>
      </w:r>
      <w:r w:rsidR="003B1FB6">
        <w:br/>
      </w:r>
      <w:r>
        <w:t>CTA</w:t>
      </w:r>
      <w:r w:rsidR="003B1FB6">
        <w:t xml:space="preserve"> 5000-Serie</w:t>
      </w:r>
      <w:r>
        <w:t xml:space="preserve">  </w:t>
      </w:r>
    </w:p>
    <w:p w14:paraId="6F11C2BB" w14:textId="77777777" w:rsidR="00785F8A" w:rsidRPr="00A841C1" w:rsidRDefault="00785F8A" w:rsidP="00785F8A">
      <w:pPr>
        <w:pStyle w:val="HeadlineH233Pt"/>
        <w:spacing w:before="240" w:after="240" w:line="140" w:lineRule="exact"/>
        <w:rPr>
          <w:rFonts w:ascii="Tahoma" w:hAnsi="Tahoma" w:cs="Tahoma"/>
        </w:rPr>
      </w:pPr>
      <w:r>
        <w:rPr>
          <w:rFonts w:ascii="Tahoma" w:hAnsi="Tahoma"/>
        </w:rPr>
        <w:t>⸺</w:t>
      </w:r>
    </w:p>
    <w:p w14:paraId="17686C82" w14:textId="3F5E014C" w:rsidR="00916402" w:rsidRPr="00916402" w:rsidRDefault="00916402" w:rsidP="003E2F87">
      <w:pPr>
        <w:tabs>
          <w:tab w:val="left" w:pos="170"/>
        </w:tabs>
        <w:suppressAutoHyphens/>
        <w:spacing w:before="240" w:after="300" w:line="276" w:lineRule="auto"/>
        <w:rPr>
          <w:rFonts w:ascii="Arial" w:hAnsi="Arial"/>
          <w:b/>
        </w:rPr>
      </w:pPr>
      <w:r>
        <w:rPr>
          <w:rFonts w:ascii="Arial" w:hAnsi="Arial"/>
          <w:b/>
        </w:rPr>
        <w:t xml:space="preserve">Liebherr-Transportation Systems liefert Ersatzteile für die Überholung der elektrohydraulischen </w:t>
      </w:r>
      <w:r w:rsidR="003B1FB6">
        <w:rPr>
          <w:rFonts w:ascii="Arial" w:hAnsi="Arial"/>
          <w:b/>
        </w:rPr>
        <w:t>Niveauregulier</w:t>
      </w:r>
      <w:r>
        <w:rPr>
          <w:rFonts w:ascii="Arial" w:hAnsi="Arial"/>
          <w:b/>
        </w:rPr>
        <w:t xml:space="preserve">ungssysteme der Chicago Transit Authority (CTA), die von Liebherr für die Schienenfahrzeuge der </w:t>
      </w:r>
      <w:r w:rsidR="003B1FB6">
        <w:rPr>
          <w:rFonts w:ascii="Arial" w:hAnsi="Arial"/>
          <w:b/>
        </w:rPr>
        <w:t>5000-</w:t>
      </w:r>
      <w:r>
        <w:rPr>
          <w:rFonts w:ascii="Arial" w:hAnsi="Arial"/>
          <w:b/>
        </w:rPr>
        <w:t xml:space="preserve">Serie entwickelt und gefertigt wurden. Die Auslieferung hat bereits in diesem Jahr begonnen und wird bis Anfang 2025 abgeschlossen sein. </w:t>
      </w:r>
      <w:r w:rsidR="003B1FB6">
        <w:rPr>
          <w:rFonts w:ascii="Arial" w:hAnsi="Arial"/>
          <w:b/>
        </w:rPr>
        <w:br/>
      </w:r>
      <w:r>
        <w:rPr>
          <w:rFonts w:ascii="Arial" w:hAnsi="Arial"/>
          <w:b/>
        </w:rPr>
        <w:t xml:space="preserve">Die </w:t>
      </w:r>
      <w:r w:rsidR="003B1FB6">
        <w:rPr>
          <w:rFonts w:ascii="Arial" w:hAnsi="Arial"/>
          <w:b/>
        </w:rPr>
        <w:t>Überholungen</w:t>
      </w:r>
      <w:r>
        <w:rPr>
          <w:rFonts w:ascii="Arial" w:hAnsi="Arial"/>
          <w:b/>
        </w:rPr>
        <w:t xml:space="preserve"> werden </w:t>
      </w:r>
      <w:r w:rsidR="003B1FB6">
        <w:rPr>
          <w:rFonts w:ascii="Arial" w:hAnsi="Arial"/>
          <w:b/>
        </w:rPr>
        <w:t xml:space="preserve">im </w:t>
      </w:r>
      <w:r>
        <w:rPr>
          <w:rFonts w:ascii="Arial" w:hAnsi="Arial"/>
          <w:b/>
        </w:rPr>
        <w:t xml:space="preserve">CTA </w:t>
      </w:r>
      <w:r w:rsidR="003B1FB6">
        <w:rPr>
          <w:rFonts w:ascii="Arial" w:hAnsi="Arial"/>
          <w:b/>
        </w:rPr>
        <w:t>Instandhaltungswerk</w:t>
      </w:r>
      <w:r>
        <w:rPr>
          <w:rFonts w:ascii="Arial" w:hAnsi="Arial"/>
          <w:b/>
        </w:rPr>
        <w:t xml:space="preserve"> in </w:t>
      </w:r>
      <w:proofErr w:type="spellStart"/>
      <w:r>
        <w:rPr>
          <w:rFonts w:ascii="Arial" w:hAnsi="Arial"/>
          <w:b/>
        </w:rPr>
        <w:t>Skokie</w:t>
      </w:r>
      <w:proofErr w:type="spellEnd"/>
      <w:r>
        <w:rPr>
          <w:rFonts w:ascii="Arial" w:hAnsi="Arial"/>
          <w:b/>
        </w:rPr>
        <w:t>, Illinois (USA) vom CTA-Serviceteam durchgeführt.</w:t>
      </w:r>
    </w:p>
    <w:p w14:paraId="1C177259" w14:textId="1102F262" w:rsidR="00EA1775" w:rsidRDefault="007F0CDD" w:rsidP="003E2F87">
      <w:pPr>
        <w:spacing w:line="276" w:lineRule="auto"/>
        <w:rPr>
          <w:rFonts w:ascii="Arial" w:hAnsi="Arial" w:cs="Arial"/>
        </w:rPr>
      </w:pPr>
      <w:r>
        <w:rPr>
          <w:rFonts w:ascii="Arial" w:hAnsi="Arial"/>
        </w:rPr>
        <w:t>Korneuburg (Österreich), Oktober 2021 – Liebherr-Transportation Systems liefert Ersatzteile für die</w:t>
      </w:r>
      <w:r w:rsidR="009C519C">
        <w:rPr>
          <w:rFonts w:ascii="Arial" w:hAnsi="Arial"/>
        </w:rPr>
        <w:t xml:space="preserve"> gemäß Spezifikation</w:t>
      </w:r>
      <w:r>
        <w:rPr>
          <w:rFonts w:ascii="Arial" w:hAnsi="Arial"/>
        </w:rPr>
        <w:t xml:space="preserve"> regelmäßige und umfassende Überholung</w:t>
      </w:r>
      <w:r w:rsidR="009C519C">
        <w:rPr>
          <w:rFonts w:ascii="Arial" w:hAnsi="Arial"/>
        </w:rPr>
        <w:t xml:space="preserve"> </w:t>
      </w:r>
      <w:r>
        <w:rPr>
          <w:rFonts w:ascii="Arial" w:hAnsi="Arial"/>
        </w:rPr>
        <w:t xml:space="preserve">der elektrohydraulischen </w:t>
      </w:r>
      <w:r w:rsidR="003B1FB6">
        <w:rPr>
          <w:rFonts w:ascii="Arial" w:hAnsi="Arial"/>
        </w:rPr>
        <w:t>Niveauregulierungssysteme</w:t>
      </w:r>
      <w:r>
        <w:rPr>
          <w:rFonts w:ascii="Arial" w:hAnsi="Arial"/>
        </w:rPr>
        <w:t xml:space="preserve"> der CTA, die in den </w:t>
      </w:r>
      <w:r w:rsidR="003B1FB6">
        <w:rPr>
          <w:rFonts w:ascii="Arial" w:hAnsi="Arial"/>
        </w:rPr>
        <w:t>Schienenfahrzeugen</w:t>
      </w:r>
      <w:r>
        <w:rPr>
          <w:rFonts w:ascii="Arial" w:hAnsi="Arial"/>
        </w:rPr>
        <w:t xml:space="preserve"> der </w:t>
      </w:r>
      <w:r w:rsidR="003B1FB6">
        <w:rPr>
          <w:rFonts w:ascii="Arial" w:hAnsi="Arial"/>
        </w:rPr>
        <w:t>5000-</w:t>
      </w:r>
      <w:r>
        <w:rPr>
          <w:rFonts w:ascii="Arial" w:hAnsi="Arial"/>
        </w:rPr>
        <w:t>Serie zum Einsatz kommen. Dazu gehören alle zu ersetzenden Wartu</w:t>
      </w:r>
      <w:r w:rsidR="003B1FB6">
        <w:rPr>
          <w:rFonts w:ascii="Arial" w:hAnsi="Arial"/>
        </w:rPr>
        <w:t>ngs- und Verschleißteile in den 714 Hydraulik-Geräten</w:t>
      </w:r>
      <w:r>
        <w:rPr>
          <w:rFonts w:ascii="Arial" w:hAnsi="Arial"/>
        </w:rPr>
        <w:t xml:space="preserve"> sowie </w:t>
      </w:r>
      <w:r w:rsidR="003B1FB6">
        <w:rPr>
          <w:rFonts w:ascii="Arial" w:hAnsi="Arial"/>
        </w:rPr>
        <w:t xml:space="preserve">die </w:t>
      </w:r>
      <w:r>
        <w:rPr>
          <w:rFonts w:ascii="Arial" w:hAnsi="Arial"/>
        </w:rPr>
        <w:t xml:space="preserve">2.856 Stellantriebe der </w:t>
      </w:r>
      <w:r w:rsidR="003B1FB6">
        <w:rPr>
          <w:rFonts w:ascii="Arial" w:hAnsi="Arial"/>
        </w:rPr>
        <w:t>Niveauregulierung</w:t>
      </w:r>
      <w:r>
        <w:rPr>
          <w:rFonts w:ascii="Arial" w:hAnsi="Arial"/>
        </w:rPr>
        <w:t xml:space="preserve">. </w:t>
      </w:r>
    </w:p>
    <w:p w14:paraId="4A8A7FDF" w14:textId="43B58B42" w:rsidR="003E2F87" w:rsidRDefault="00916402" w:rsidP="003E2F87">
      <w:pPr>
        <w:spacing w:line="276" w:lineRule="auto"/>
        <w:rPr>
          <w:rFonts w:ascii="Arial" w:hAnsi="Arial" w:cs="Arial"/>
        </w:rPr>
      </w:pPr>
      <w:r>
        <w:rPr>
          <w:rFonts w:ascii="Arial" w:hAnsi="Arial"/>
        </w:rPr>
        <w:t xml:space="preserve">„Wir freuen uns sehr, dass unsere Qualität und unser Fachwissen zu einem sicheren Betrieb der CTA-Fahrzeuge sowie </w:t>
      </w:r>
      <w:r w:rsidR="009C519C">
        <w:rPr>
          <w:rFonts w:ascii="Arial" w:hAnsi="Arial"/>
        </w:rPr>
        <w:t xml:space="preserve">zu </w:t>
      </w:r>
      <w:r>
        <w:rPr>
          <w:rFonts w:ascii="Arial" w:hAnsi="Arial"/>
        </w:rPr>
        <w:t xml:space="preserve">einem hohen Reisekomfort </w:t>
      </w:r>
      <w:r w:rsidR="009C519C">
        <w:rPr>
          <w:rFonts w:ascii="Arial" w:hAnsi="Arial"/>
        </w:rPr>
        <w:t>für die Passagiere</w:t>
      </w:r>
      <w:r>
        <w:rPr>
          <w:rFonts w:ascii="Arial" w:hAnsi="Arial"/>
        </w:rPr>
        <w:t xml:space="preserve"> im Stadtgebiet Chicago beitragen werden“, so Wolfgang Böttcher, Director Customer Support, Liebherr-Transportation Systems GmbH &amp; Co KG.</w:t>
      </w:r>
    </w:p>
    <w:p w14:paraId="3E58690D" w14:textId="77777777" w:rsidR="002A1978" w:rsidRDefault="002A1978" w:rsidP="003E2F87">
      <w:pPr>
        <w:spacing w:line="276" w:lineRule="auto"/>
        <w:rPr>
          <w:rFonts w:ascii="Arial" w:hAnsi="Arial" w:cs="Arial"/>
        </w:rPr>
      </w:pPr>
    </w:p>
    <w:p w14:paraId="60C2E5CC" w14:textId="77777777" w:rsidR="00916402" w:rsidRPr="00AE7548" w:rsidRDefault="00916402" w:rsidP="003E2F87">
      <w:pPr>
        <w:spacing w:line="276" w:lineRule="auto"/>
        <w:rPr>
          <w:rFonts w:ascii="Arial" w:hAnsi="Arial" w:cs="Arial"/>
          <w:b/>
        </w:rPr>
      </w:pPr>
      <w:r>
        <w:rPr>
          <w:rFonts w:ascii="Arial" w:hAnsi="Arial"/>
          <w:b/>
        </w:rPr>
        <w:t xml:space="preserve">Sicherheit und Komfort </w:t>
      </w:r>
    </w:p>
    <w:p w14:paraId="2FF6A74A" w14:textId="719CFCBB" w:rsidR="00916402" w:rsidRDefault="00916402" w:rsidP="003E2F87">
      <w:pPr>
        <w:spacing w:line="276" w:lineRule="auto"/>
        <w:rPr>
          <w:rFonts w:ascii="Arial" w:hAnsi="Arial" w:cs="Arial"/>
        </w:rPr>
      </w:pPr>
      <w:r>
        <w:rPr>
          <w:rFonts w:ascii="Arial" w:hAnsi="Arial"/>
        </w:rPr>
        <w:t xml:space="preserve">Die in den Fahrwerken der Schienenfahrzeuge verbauten elektrohydraulischen </w:t>
      </w:r>
      <w:r w:rsidR="003B1FB6">
        <w:rPr>
          <w:rFonts w:ascii="Arial" w:hAnsi="Arial"/>
        </w:rPr>
        <w:t>Niveauregulierungssysteme</w:t>
      </w:r>
      <w:r>
        <w:rPr>
          <w:rFonts w:ascii="Arial" w:hAnsi="Arial"/>
        </w:rPr>
        <w:t xml:space="preserve"> wurden von Liebherr an Bombardier Transportation geliefert. Das System </w:t>
      </w:r>
      <w:r w:rsidR="003B1FB6">
        <w:rPr>
          <w:rFonts w:ascii="Arial" w:hAnsi="Arial"/>
        </w:rPr>
        <w:t>hebt oder senkt</w:t>
      </w:r>
      <w:r>
        <w:rPr>
          <w:rFonts w:ascii="Arial" w:hAnsi="Arial"/>
        </w:rPr>
        <w:t xml:space="preserve"> </w:t>
      </w:r>
      <w:r w:rsidR="003B1FB6">
        <w:rPr>
          <w:rFonts w:ascii="Arial" w:hAnsi="Arial"/>
        </w:rPr>
        <w:t>die Wagen,</w:t>
      </w:r>
      <w:r>
        <w:rPr>
          <w:rFonts w:ascii="Arial" w:hAnsi="Arial"/>
        </w:rPr>
        <w:t xml:space="preserve"> so</w:t>
      </w:r>
      <w:r w:rsidR="003B1FB6">
        <w:rPr>
          <w:rFonts w:ascii="Arial" w:hAnsi="Arial"/>
        </w:rPr>
        <w:t xml:space="preserve"> </w:t>
      </w:r>
      <w:r>
        <w:rPr>
          <w:rFonts w:ascii="Arial" w:hAnsi="Arial"/>
        </w:rPr>
        <w:t xml:space="preserve">dass </w:t>
      </w:r>
      <w:r w:rsidR="003B1FB6">
        <w:rPr>
          <w:rFonts w:ascii="Arial" w:hAnsi="Arial"/>
        </w:rPr>
        <w:t>deren</w:t>
      </w:r>
      <w:r>
        <w:rPr>
          <w:rFonts w:ascii="Arial" w:hAnsi="Arial"/>
        </w:rPr>
        <w:t xml:space="preserve"> Bodenhöhe der Höhe des Bahnsteigs entspricht. Pro Fahrzeug sorgen vier Hydraulikzylinder für eine korrekte Positionierung der Ausstiegshöhe. Das erleichtert das Ein- und Aussteigen für Passagiere, insbesondere für Personen mit eingeschränkter Mobilität, Personen mit Rollgepäck sowie Familien mit Kinderwagen und anderem Zubehör für Kleinkinder.</w:t>
      </w:r>
    </w:p>
    <w:p w14:paraId="247C961B" w14:textId="77777777" w:rsidR="00B21C10" w:rsidRDefault="00B21C10" w:rsidP="003E2F87">
      <w:pPr>
        <w:spacing w:line="276" w:lineRule="auto"/>
        <w:rPr>
          <w:rFonts w:ascii="Arial" w:hAnsi="Arial" w:cs="Arial"/>
          <w:sz w:val="18"/>
          <w:szCs w:val="18"/>
        </w:rPr>
      </w:pPr>
    </w:p>
    <w:p w14:paraId="5A974394" w14:textId="77777777" w:rsidR="00F313C6" w:rsidRDefault="00F313C6" w:rsidP="003E2F87">
      <w:pPr>
        <w:spacing w:line="276" w:lineRule="auto"/>
        <w:rPr>
          <w:rFonts w:ascii="Arial" w:hAnsi="Arial" w:cs="Arial"/>
          <w:sz w:val="18"/>
          <w:szCs w:val="18"/>
        </w:rPr>
      </w:pPr>
    </w:p>
    <w:p w14:paraId="78086053" w14:textId="77777777" w:rsidR="00F313C6" w:rsidRDefault="00F313C6" w:rsidP="003E2F87">
      <w:pPr>
        <w:spacing w:line="276" w:lineRule="auto"/>
        <w:rPr>
          <w:rFonts w:ascii="Arial" w:hAnsi="Arial" w:cs="Arial"/>
          <w:sz w:val="18"/>
          <w:szCs w:val="18"/>
        </w:rPr>
      </w:pPr>
    </w:p>
    <w:p w14:paraId="74644F01" w14:textId="77777777" w:rsidR="0008549B" w:rsidRDefault="0008549B" w:rsidP="003E2F87">
      <w:pPr>
        <w:spacing w:line="276" w:lineRule="auto"/>
        <w:rPr>
          <w:rFonts w:ascii="Arial" w:hAnsi="Arial" w:cs="Arial"/>
          <w:sz w:val="18"/>
          <w:szCs w:val="18"/>
        </w:rPr>
      </w:pPr>
    </w:p>
    <w:p w14:paraId="4737C722" w14:textId="77777777" w:rsidR="002A1978" w:rsidRDefault="002A1978" w:rsidP="00916402">
      <w:pPr>
        <w:pStyle w:val="Copytext11Pt"/>
        <w:rPr>
          <w:rFonts w:eastAsiaTheme="minorHAnsi" w:cs="Arial"/>
          <w:sz w:val="18"/>
          <w:lang w:eastAsia="en-US"/>
        </w:rPr>
      </w:pPr>
    </w:p>
    <w:p w14:paraId="3DB21B71" w14:textId="4BEF5136" w:rsidR="00B1555B" w:rsidRDefault="00B1555B" w:rsidP="00091AFE">
      <w:pPr>
        <w:spacing w:after="240" w:line="276" w:lineRule="auto"/>
        <w:rPr>
          <w:rFonts w:ascii="Arial" w:eastAsia="Times New Roman" w:hAnsi="Arial" w:cs="Times New Roman"/>
          <w:b/>
          <w:sz w:val="18"/>
          <w:szCs w:val="18"/>
          <w:lang w:eastAsia="de-DE"/>
        </w:rPr>
      </w:pPr>
    </w:p>
    <w:p w14:paraId="69381F91" w14:textId="77777777" w:rsidR="00D22E53" w:rsidRPr="00B74537" w:rsidRDefault="00D22E53" w:rsidP="00D22E53">
      <w:pPr>
        <w:pStyle w:val="BoilerplateCopytext9Pt"/>
        <w:rPr>
          <w:b/>
        </w:rPr>
      </w:pPr>
      <w:r w:rsidRPr="00B74537">
        <w:rPr>
          <w:b/>
        </w:rPr>
        <w:t>Über die Liebherr-Transportation Systems</w:t>
      </w:r>
    </w:p>
    <w:p w14:paraId="291FE0CF" w14:textId="77777777" w:rsidR="00D22E53" w:rsidRPr="00B74537" w:rsidRDefault="00D22E53" w:rsidP="00D22E53">
      <w:pPr>
        <w:pStyle w:val="BoilerplateCopytext9Pt"/>
      </w:pPr>
      <w:r w:rsidRPr="00B74537">
        <w:t>Liebherr-Transportation Systems stellt Heizungs-, Lüftungs- und Klimaanlagen (HLK-Systeme) für Fahrerkabinen und den Fahrgastbereich, verschiedene Kühlsysteme für E-Mobilitätsanwendungen ohne Oberleitung, Thermomanagementsysteme für Elektronik sowie Hydraulikantriebssysteme, Fahrwerklenksysteme, Dämpfer und Ausrüstung für den hydraulischen Lastausgleich für Schienenfahrzeuge aller Arten bereit. Liebherr blickt auf langjährige Erfahrung in der Entwicklung, Herstellung und Instandsetzung dieser technischen Systeme zurück und bietet Support über den gesamten Produktlebenszyklus hinweg.  Das Unternehmen investiert fortlaufend in die Forschung und Entwicklung, um neue Generationen verschiedener Transportsystemlösungen für seine Kunden bereitzustellen.</w:t>
      </w:r>
    </w:p>
    <w:p w14:paraId="47002497" w14:textId="77777777" w:rsidR="00D22E53" w:rsidRPr="00C15D19" w:rsidRDefault="00D22E53" w:rsidP="00D22E53">
      <w:pPr>
        <w:pStyle w:val="BoilerplateCopytext9Pt"/>
      </w:pPr>
      <w:r w:rsidRPr="00B74537">
        <w:t xml:space="preserve">Liebherr-Transportation Systems betreibt </w:t>
      </w:r>
      <w:r>
        <w:t>vier</w:t>
      </w:r>
      <w:r w:rsidRPr="00B74537">
        <w:t xml:space="preserve"> Produktionsstätten in Korneuburg (Österreich), Marica (Bulgarien)</w:t>
      </w:r>
      <w:r>
        <w:t xml:space="preserve">, </w:t>
      </w:r>
      <w:proofErr w:type="spellStart"/>
      <w:r>
        <w:t>Pinghu</w:t>
      </w:r>
      <w:proofErr w:type="spellEnd"/>
      <w:r>
        <w:t xml:space="preserve"> (China)</w:t>
      </w:r>
      <w:r w:rsidRPr="00B74537">
        <w:t xml:space="preserve"> und </w:t>
      </w:r>
      <w:proofErr w:type="spellStart"/>
      <w:r w:rsidRPr="00B74537">
        <w:t>Zhuji</w:t>
      </w:r>
      <w:proofErr w:type="spellEnd"/>
      <w:r w:rsidRPr="00B74537">
        <w:t xml:space="preserve"> (China). Neben den eigenen Vertriebs- und Servicecentern nutzt der Produktbereich Verkehrstechnik die fortschrittlichen und einzigartigen Technologien der Firmengruppe Liebherr sowie die rund um den Globus verteilten Entwicklungs- und Serviceeinrichtungen. Dank der globalen Präsenz des Unternehmens ist Liebherr-Transportation Systems für seine Kunden da – jederzeit und überall.</w:t>
      </w:r>
    </w:p>
    <w:p w14:paraId="44EA2590" w14:textId="77777777" w:rsidR="00C21DF4" w:rsidRPr="005A78B9" w:rsidRDefault="00C21DF4" w:rsidP="00C21DF4">
      <w:pPr>
        <w:spacing w:after="240" w:line="240" w:lineRule="exact"/>
        <w:rPr>
          <w:rFonts w:ascii="Arial" w:hAnsi="Arial" w:cs="Arial"/>
          <w:b/>
          <w:bCs/>
          <w:sz w:val="18"/>
          <w:szCs w:val="18"/>
        </w:rPr>
      </w:pPr>
      <w:bookmarkStart w:id="0" w:name="_GoBack"/>
      <w:bookmarkEnd w:id="0"/>
      <w:r w:rsidRPr="005A78B9">
        <w:rPr>
          <w:rFonts w:ascii="Arial" w:hAnsi="Arial"/>
          <w:b/>
          <w:bCs/>
          <w:sz w:val="18"/>
          <w:szCs w:val="18"/>
          <w:lang w:eastAsia="de-DE"/>
        </w:rPr>
        <w:t>Über die Firmengruppe Liebherr</w:t>
      </w:r>
    </w:p>
    <w:p w14:paraId="0ED64515" w14:textId="2A0C91C7" w:rsidR="00272658" w:rsidRPr="00272658" w:rsidRDefault="00C21DF4" w:rsidP="00C21DF4">
      <w:pPr>
        <w:spacing w:after="240" w:line="240" w:lineRule="exact"/>
        <w:rPr>
          <w:rFonts w:ascii="Arial" w:hAnsi="Arial"/>
          <w:sz w:val="18"/>
          <w:szCs w:val="18"/>
          <w:lang w:eastAsia="de-DE"/>
        </w:rPr>
      </w:pPr>
      <w:r w:rsidRPr="005A78B9">
        <w:rPr>
          <w:rFonts w:ascii="Arial" w:hAnsi="Arial"/>
          <w:sz w:val="18"/>
          <w:szCs w:val="18"/>
          <w:lang w:eastAsia="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0145CB6C" w14:textId="77777777" w:rsidR="00785F8A" w:rsidRPr="00041A6C" w:rsidRDefault="00E701EC" w:rsidP="00785F8A">
      <w:pPr>
        <w:pStyle w:val="Copyhead11Pt"/>
        <w:rPr>
          <w:lang w:val="en-US"/>
        </w:rPr>
      </w:pPr>
      <w:proofErr w:type="spellStart"/>
      <w:r w:rsidRPr="00041A6C">
        <w:rPr>
          <w:lang w:val="en-US"/>
        </w:rPr>
        <w:t>Bild</w:t>
      </w:r>
      <w:proofErr w:type="spellEnd"/>
      <w:r w:rsidRPr="00041A6C">
        <w:rPr>
          <w:lang w:val="en-US"/>
        </w:rPr>
        <w:t xml:space="preserve"> </w:t>
      </w:r>
    </w:p>
    <w:p w14:paraId="26CB1122" w14:textId="7D9D4F04" w:rsidR="00272658" w:rsidRPr="00BE07AC" w:rsidRDefault="00BE07AC" w:rsidP="002A1978">
      <w:pPr>
        <w:rPr>
          <w:rFonts w:ascii="Arial" w:hAnsi="Arial"/>
          <w:sz w:val="18"/>
          <w:szCs w:val="18"/>
          <w:lang w:val="en-US"/>
        </w:rPr>
      </w:pPr>
      <w:r>
        <w:rPr>
          <w:rFonts w:ascii="Arial" w:hAnsi="Arial"/>
          <w:noProof/>
          <w:sz w:val="18"/>
          <w:szCs w:val="18"/>
          <w:lang w:eastAsia="de-DE"/>
        </w:rPr>
        <w:drawing>
          <wp:inline distT="0" distB="0" distL="0" distR="0" wp14:anchorId="03F67126" wp14:editId="205F73DB">
            <wp:extent cx="1882140" cy="1463040"/>
            <wp:effectExtent l="0" t="0" r="3810" b="3810"/>
            <wp:docPr id="1" name="Grafik 1" descr="C:\Users\llibru0\AppData\Local\Microsoft\Windows\INetCache\Content.Word\5000_4-copyright-CTA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ibru0\AppData\Local\Microsoft\Windows\INetCache\Content.Word\5000_4-copyright-CTA_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2140" cy="1463040"/>
                    </a:xfrm>
                    <a:prstGeom prst="rect">
                      <a:avLst/>
                    </a:prstGeom>
                    <a:noFill/>
                    <a:ln>
                      <a:noFill/>
                    </a:ln>
                  </pic:spPr>
                </pic:pic>
              </a:graphicData>
            </a:graphic>
          </wp:inline>
        </w:drawing>
      </w:r>
      <w:r w:rsidR="00F313C6" w:rsidRPr="00BE07AC">
        <w:rPr>
          <w:rFonts w:ascii="Arial" w:hAnsi="Arial"/>
          <w:sz w:val="18"/>
          <w:szCs w:val="18"/>
          <w:lang w:val="en-US"/>
        </w:rPr>
        <w:br/>
      </w:r>
      <w:r w:rsidRPr="00BE07AC">
        <w:rPr>
          <w:rFonts w:ascii="Arial" w:hAnsi="Arial"/>
          <w:sz w:val="18"/>
          <w:szCs w:val="18"/>
          <w:lang w:val="en-US"/>
        </w:rPr>
        <w:t>5000_4-copyright-CTA.jpg</w:t>
      </w:r>
      <w:r w:rsidRPr="00BE07AC">
        <w:rPr>
          <w:rFonts w:ascii="Arial" w:hAnsi="Arial"/>
          <w:sz w:val="18"/>
          <w:szCs w:val="18"/>
          <w:lang w:val="en-US"/>
        </w:rPr>
        <w:br/>
        <w:t>CTA 5000-Serie - © CTA</w:t>
      </w:r>
      <w:r w:rsidR="00F313C6" w:rsidRPr="00BE07AC">
        <w:rPr>
          <w:rFonts w:ascii="Arial" w:hAnsi="Arial"/>
          <w:sz w:val="18"/>
          <w:szCs w:val="18"/>
          <w:lang w:val="en-US"/>
        </w:rPr>
        <w:br/>
      </w:r>
    </w:p>
    <w:p w14:paraId="383CC78B" w14:textId="77777777" w:rsidR="00112840" w:rsidRPr="00041A6C" w:rsidRDefault="00112840" w:rsidP="00112840">
      <w:pPr>
        <w:pStyle w:val="Copyhead11Pt"/>
        <w:rPr>
          <w:lang w:val="en-US"/>
        </w:rPr>
      </w:pPr>
      <w:proofErr w:type="spellStart"/>
      <w:r w:rsidRPr="00041A6C">
        <w:rPr>
          <w:lang w:val="en-US"/>
        </w:rPr>
        <w:t>Kontakt</w:t>
      </w:r>
      <w:proofErr w:type="spellEnd"/>
    </w:p>
    <w:p w14:paraId="0EBFF43E" w14:textId="77777777" w:rsidR="00600E4F" w:rsidRPr="00041A6C" w:rsidRDefault="00600E4F" w:rsidP="00600E4F">
      <w:pPr>
        <w:spacing w:after="300" w:line="300" w:lineRule="exact"/>
        <w:rPr>
          <w:rFonts w:ascii="Arial" w:eastAsia="Times New Roman" w:hAnsi="Arial" w:cs="Times New Roman"/>
          <w:szCs w:val="18"/>
          <w:lang w:val="en-US"/>
        </w:rPr>
      </w:pPr>
      <w:r w:rsidRPr="00041A6C">
        <w:rPr>
          <w:rFonts w:ascii="Arial" w:hAnsi="Arial"/>
          <w:szCs w:val="18"/>
          <w:lang w:val="en-US"/>
        </w:rPr>
        <w:t>Ute Braam</w:t>
      </w:r>
      <w:r w:rsidRPr="00041A6C">
        <w:rPr>
          <w:rFonts w:ascii="Arial" w:hAnsi="Arial"/>
          <w:szCs w:val="18"/>
          <w:lang w:val="en-US"/>
        </w:rPr>
        <w:br/>
        <w:t>Corporate Communications</w:t>
      </w:r>
      <w:r w:rsidRPr="00041A6C">
        <w:rPr>
          <w:rFonts w:ascii="Arial" w:hAnsi="Arial"/>
          <w:szCs w:val="18"/>
          <w:lang w:val="en-US"/>
        </w:rPr>
        <w:br/>
        <w:t>Tel: +49 8381 46 4403</w:t>
      </w:r>
      <w:r w:rsidRPr="00041A6C">
        <w:rPr>
          <w:rFonts w:ascii="Arial" w:hAnsi="Arial"/>
          <w:szCs w:val="18"/>
          <w:lang w:val="en-US"/>
        </w:rPr>
        <w:br/>
        <w:t xml:space="preserve">E-Mail: ute.braam@liebherr.com </w:t>
      </w:r>
    </w:p>
    <w:p w14:paraId="7509B2B5" w14:textId="77777777" w:rsidR="00600E4F" w:rsidRPr="00600E4F" w:rsidRDefault="00600E4F" w:rsidP="00600E4F">
      <w:pPr>
        <w:spacing w:after="300" w:line="300" w:lineRule="exact"/>
        <w:rPr>
          <w:rFonts w:ascii="Arial" w:eastAsia="Times New Roman" w:hAnsi="Arial" w:cs="Times New Roman"/>
          <w:b/>
          <w:szCs w:val="18"/>
        </w:rPr>
      </w:pPr>
      <w:r>
        <w:rPr>
          <w:rFonts w:ascii="Arial" w:hAnsi="Arial"/>
          <w:b/>
          <w:szCs w:val="18"/>
        </w:rPr>
        <w:t>Veröffentlicht von</w:t>
      </w:r>
    </w:p>
    <w:p w14:paraId="1019AED6" w14:textId="77777777" w:rsidR="00785F8A" w:rsidRPr="00BE07AC" w:rsidRDefault="00600E4F" w:rsidP="00600E4F">
      <w:pPr>
        <w:spacing w:after="300" w:line="300" w:lineRule="exact"/>
        <w:rPr>
          <w:rFonts w:ascii="Arial" w:eastAsia="Times New Roman" w:hAnsi="Arial" w:cs="Times New Roman"/>
          <w:szCs w:val="18"/>
        </w:rPr>
      </w:pPr>
      <w:r w:rsidRPr="00BE07AC">
        <w:rPr>
          <w:rFonts w:ascii="Arial" w:hAnsi="Arial"/>
          <w:szCs w:val="18"/>
        </w:rPr>
        <w:t>Liebherr-Aerospace &amp; Transportation SAS</w:t>
      </w:r>
      <w:r w:rsidRPr="00BE07AC">
        <w:rPr>
          <w:rFonts w:ascii="Arial" w:hAnsi="Arial"/>
          <w:szCs w:val="18"/>
        </w:rPr>
        <w:br/>
        <w:t>Toulouse, Frankreich</w:t>
      </w:r>
      <w:r w:rsidRPr="00BE07AC">
        <w:rPr>
          <w:rFonts w:ascii="Arial" w:hAnsi="Arial"/>
          <w:szCs w:val="18"/>
        </w:rPr>
        <w:br/>
        <w:t>www.liebherr.com</w:t>
      </w:r>
    </w:p>
    <w:sectPr w:rsidR="00785F8A" w:rsidRPr="00BE07AC" w:rsidSect="003E2F87">
      <w:headerReference w:type="even" r:id="rId8"/>
      <w:headerReference w:type="default" r:id="rId9"/>
      <w:headerReference w:type="first" r:id="rId10"/>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D0BCB" w14:textId="77777777" w:rsidR="00B17BA7" w:rsidRDefault="00B17BA7" w:rsidP="00785F8A">
      <w:pPr>
        <w:spacing w:after="0" w:line="240" w:lineRule="auto"/>
      </w:pPr>
      <w:r>
        <w:separator/>
      </w:r>
    </w:p>
    <w:p w14:paraId="47FA360D" w14:textId="77777777" w:rsidR="00B17BA7" w:rsidRDefault="00B17BA7"/>
  </w:endnote>
  <w:endnote w:type="continuationSeparator" w:id="0">
    <w:p w14:paraId="2684E5DC" w14:textId="77777777" w:rsidR="00B17BA7" w:rsidRDefault="00B17BA7" w:rsidP="00785F8A">
      <w:pPr>
        <w:spacing w:after="0" w:line="240" w:lineRule="auto"/>
      </w:pPr>
      <w:r>
        <w:continuationSeparator/>
      </w:r>
    </w:p>
    <w:p w14:paraId="5372FB31" w14:textId="77777777" w:rsidR="00B17BA7" w:rsidRDefault="00B17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FC91" w14:textId="77777777" w:rsidR="00B17BA7" w:rsidRDefault="00B17BA7" w:rsidP="00785F8A">
      <w:pPr>
        <w:spacing w:after="0" w:line="240" w:lineRule="auto"/>
      </w:pPr>
      <w:r>
        <w:separator/>
      </w:r>
    </w:p>
    <w:p w14:paraId="0B6A22B1" w14:textId="77777777" w:rsidR="00B17BA7" w:rsidRDefault="00B17BA7"/>
  </w:footnote>
  <w:footnote w:type="continuationSeparator" w:id="0">
    <w:p w14:paraId="7A9F8757" w14:textId="77777777" w:rsidR="00B17BA7" w:rsidRDefault="00B17BA7" w:rsidP="00785F8A">
      <w:pPr>
        <w:spacing w:after="0" w:line="240" w:lineRule="auto"/>
      </w:pPr>
      <w:r>
        <w:continuationSeparator/>
      </w:r>
    </w:p>
    <w:p w14:paraId="5518140F" w14:textId="77777777" w:rsidR="00B17BA7" w:rsidRDefault="00B17B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0E806" w14:textId="77777777" w:rsidR="00513DD0" w:rsidRDefault="00513D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0CA0" w14:textId="77777777" w:rsidR="00B32F1A" w:rsidRDefault="00B25EF7" w:rsidP="003F5A81">
    <w:pPr>
      <w:pStyle w:val="Kopfzeile"/>
    </w:pPr>
    <w:r>
      <w:t xml:space="preserve">                                                                                                                                        </w:t>
    </w:r>
    <w:r>
      <w:rPr>
        <w:noProof/>
        <w:lang w:eastAsia="de-DE"/>
      </w:rPr>
      <w:drawing>
        <wp:inline distT="0" distB="0" distL="0" distR="0" wp14:anchorId="3D61C8D1" wp14:editId="6B61C56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AD82" w14:textId="77777777" w:rsidR="00513DD0" w:rsidRDefault="00513D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41A6C"/>
    <w:rsid w:val="0006197D"/>
    <w:rsid w:val="0008549B"/>
    <w:rsid w:val="00087719"/>
    <w:rsid w:val="00091AFE"/>
    <w:rsid w:val="000D5460"/>
    <w:rsid w:val="00112840"/>
    <w:rsid w:val="001234D5"/>
    <w:rsid w:val="00145DB7"/>
    <w:rsid w:val="00147376"/>
    <w:rsid w:val="00152F63"/>
    <w:rsid w:val="002346A6"/>
    <w:rsid w:val="00241F40"/>
    <w:rsid w:val="00243028"/>
    <w:rsid w:val="00272658"/>
    <w:rsid w:val="002A1978"/>
    <w:rsid w:val="0030069C"/>
    <w:rsid w:val="00303647"/>
    <w:rsid w:val="00344789"/>
    <w:rsid w:val="00372D67"/>
    <w:rsid w:val="0038764B"/>
    <w:rsid w:val="00392E23"/>
    <w:rsid w:val="003942BF"/>
    <w:rsid w:val="003B1FB6"/>
    <w:rsid w:val="003E2F87"/>
    <w:rsid w:val="003E6B88"/>
    <w:rsid w:val="003F5A81"/>
    <w:rsid w:val="004238AA"/>
    <w:rsid w:val="00447F99"/>
    <w:rsid w:val="00497FDF"/>
    <w:rsid w:val="00513DD0"/>
    <w:rsid w:val="005167C3"/>
    <w:rsid w:val="00522FC8"/>
    <w:rsid w:val="005270CD"/>
    <w:rsid w:val="005703F3"/>
    <w:rsid w:val="005A78B9"/>
    <w:rsid w:val="005C3D07"/>
    <w:rsid w:val="00600E4F"/>
    <w:rsid w:val="006435B8"/>
    <w:rsid w:val="0067732C"/>
    <w:rsid w:val="006A0614"/>
    <w:rsid w:val="006A0B5E"/>
    <w:rsid w:val="006B4C70"/>
    <w:rsid w:val="006B7678"/>
    <w:rsid w:val="006F7EE9"/>
    <w:rsid w:val="00713926"/>
    <w:rsid w:val="0071574C"/>
    <w:rsid w:val="00734DE3"/>
    <w:rsid w:val="00747265"/>
    <w:rsid w:val="00782C73"/>
    <w:rsid w:val="00785F8A"/>
    <w:rsid w:val="007919EF"/>
    <w:rsid w:val="007B2B05"/>
    <w:rsid w:val="007D5480"/>
    <w:rsid w:val="007F0CDD"/>
    <w:rsid w:val="00835106"/>
    <w:rsid w:val="0089455B"/>
    <w:rsid w:val="008A3946"/>
    <w:rsid w:val="008A7605"/>
    <w:rsid w:val="008B2FD6"/>
    <w:rsid w:val="00916402"/>
    <w:rsid w:val="00916C41"/>
    <w:rsid w:val="00917C99"/>
    <w:rsid w:val="00936E88"/>
    <w:rsid w:val="009B014D"/>
    <w:rsid w:val="009B48F8"/>
    <w:rsid w:val="009C519C"/>
    <w:rsid w:val="009E33AC"/>
    <w:rsid w:val="00A00A39"/>
    <w:rsid w:val="00A2369A"/>
    <w:rsid w:val="00A32967"/>
    <w:rsid w:val="00A42D8C"/>
    <w:rsid w:val="00A65F82"/>
    <w:rsid w:val="00A841C1"/>
    <w:rsid w:val="00A8793F"/>
    <w:rsid w:val="00AB4B7A"/>
    <w:rsid w:val="00AD30FE"/>
    <w:rsid w:val="00AF1F99"/>
    <w:rsid w:val="00B1555B"/>
    <w:rsid w:val="00B17BA7"/>
    <w:rsid w:val="00B21C10"/>
    <w:rsid w:val="00B25EF7"/>
    <w:rsid w:val="00B32F1A"/>
    <w:rsid w:val="00B331AF"/>
    <w:rsid w:val="00B353DC"/>
    <w:rsid w:val="00B37526"/>
    <w:rsid w:val="00B52B41"/>
    <w:rsid w:val="00BC503E"/>
    <w:rsid w:val="00BD03E8"/>
    <w:rsid w:val="00BE07AC"/>
    <w:rsid w:val="00BE61F8"/>
    <w:rsid w:val="00C07BCE"/>
    <w:rsid w:val="00C21DF4"/>
    <w:rsid w:val="00C835AA"/>
    <w:rsid w:val="00C85239"/>
    <w:rsid w:val="00C96E09"/>
    <w:rsid w:val="00CD1BD1"/>
    <w:rsid w:val="00CF2BFD"/>
    <w:rsid w:val="00D16A01"/>
    <w:rsid w:val="00D208EC"/>
    <w:rsid w:val="00D22E53"/>
    <w:rsid w:val="00D51D92"/>
    <w:rsid w:val="00D620A8"/>
    <w:rsid w:val="00DB41B0"/>
    <w:rsid w:val="00E029C6"/>
    <w:rsid w:val="00E41DEA"/>
    <w:rsid w:val="00E637CF"/>
    <w:rsid w:val="00E701EC"/>
    <w:rsid w:val="00EA1775"/>
    <w:rsid w:val="00EA2057"/>
    <w:rsid w:val="00EA27CA"/>
    <w:rsid w:val="00EA5C80"/>
    <w:rsid w:val="00EB31F6"/>
    <w:rsid w:val="00EC2A0F"/>
    <w:rsid w:val="00ED7833"/>
    <w:rsid w:val="00F1050D"/>
    <w:rsid w:val="00F313C6"/>
    <w:rsid w:val="00F762B8"/>
    <w:rsid w:val="00FB377E"/>
    <w:rsid w:val="00FD6979"/>
    <w:rsid w:val="00FE1F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681AE7"/>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de-DE"/>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de-DE"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de-DE" w:eastAsia="de-DE"/>
    </w:rPr>
  </w:style>
  <w:style w:type="character" w:customStyle="1" w:styleId="Bulletpoints11Pt1Zchn">
    <w:name w:val="Bulletpoints 11Pt1 Zchn"/>
    <w:basedOn w:val="Absatz-Standardschriftart"/>
    <w:link w:val="Bulletpoints11Pt1"/>
    <w:rsid w:val="00241F40"/>
    <w:rPr>
      <w:rFonts w:ascii="Arial" w:hAnsi="Arial" w:cs="Arial"/>
      <w:b/>
      <w:lang w:val="de-DE"/>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de-DE"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de-DE"/>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7942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Liebherr</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7</cp:revision>
  <cp:lastPrinted>2021-10-22T07:03:00Z</cp:lastPrinted>
  <dcterms:created xsi:type="dcterms:W3CDTF">2021-10-21T08:38:00Z</dcterms:created>
  <dcterms:modified xsi:type="dcterms:W3CDTF">2021-10-22T07:05:00Z</dcterms:modified>
</cp:coreProperties>
</file>