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7078B" w14:textId="77777777" w:rsidR="00B81ED6" w:rsidRPr="00A46E69" w:rsidRDefault="005B299E" w:rsidP="00A46E69">
      <w:pPr>
        <w:pStyle w:val="Topline16Pt"/>
        <w:rPr>
          <w:rFonts w:eastAsiaTheme="minorHAnsi" w:cstheme="minorBidi"/>
        </w:rPr>
      </w:pPr>
      <w:r>
        <w:t xml:space="preserve">Press release </w:t>
      </w:r>
    </w:p>
    <w:p w14:paraId="2919307F" w14:textId="77777777" w:rsidR="00EE296B" w:rsidRPr="00A46E69" w:rsidRDefault="002273FA" w:rsidP="00A46E69">
      <w:pPr>
        <w:pStyle w:val="HeadlineH233Pt"/>
        <w:spacing w:line="240" w:lineRule="auto"/>
        <w:rPr>
          <w:rFonts w:eastAsiaTheme="majorEastAsia" w:cs="Arial"/>
        </w:rPr>
      </w:pPr>
      <w:r>
        <w:t xml:space="preserve">Blade replacement at a wind farm – tandem hoist by </w:t>
      </w:r>
      <w:proofErr w:type="spellStart"/>
      <w:r>
        <w:t>Liebherr</w:t>
      </w:r>
      <w:proofErr w:type="spellEnd"/>
      <w:r>
        <w:t xml:space="preserve"> mobile cranes </w:t>
      </w:r>
    </w:p>
    <w:p w14:paraId="4666392D" w14:textId="77777777" w:rsidR="00B81ED6" w:rsidRPr="00EF07F7" w:rsidRDefault="00B81ED6" w:rsidP="00223041">
      <w:pPr>
        <w:pStyle w:val="TitleRuleLH"/>
      </w:pPr>
    </w:p>
    <w:p w14:paraId="5AAC404C" w14:textId="77777777" w:rsidR="006048EE" w:rsidRPr="00EF07F7" w:rsidRDefault="006048EE" w:rsidP="006048EE">
      <w:pPr>
        <w:pStyle w:val="Bulletpoints11Pt"/>
        <w:rPr>
          <w:rFonts w:eastAsiaTheme="minorHAnsi"/>
        </w:rPr>
      </w:pPr>
      <w:proofErr w:type="spellStart"/>
      <w:r w:rsidRPr="00EF07F7">
        <w:t>Grúas</w:t>
      </w:r>
      <w:proofErr w:type="spellEnd"/>
      <w:r w:rsidRPr="00EF07F7">
        <w:t xml:space="preserve"> </w:t>
      </w:r>
      <w:proofErr w:type="spellStart"/>
      <w:r w:rsidRPr="00EF07F7">
        <w:t>Ibarrondo</w:t>
      </w:r>
      <w:proofErr w:type="spellEnd"/>
      <w:r w:rsidRPr="00EF07F7">
        <w:t xml:space="preserve"> uses LTM 1750-9.1 and LTM 1650-8.1 in tandem</w:t>
      </w:r>
    </w:p>
    <w:p w14:paraId="1D2B925B" w14:textId="1070F8D7" w:rsidR="006A349D" w:rsidRPr="00EF07F7" w:rsidRDefault="006048EE" w:rsidP="0030044E">
      <w:pPr>
        <w:pStyle w:val="Bulletpoints11Pt"/>
        <w:rPr>
          <w:rFonts w:eastAsiaTheme="minorHAnsi"/>
        </w:rPr>
      </w:pPr>
      <w:r w:rsidRPr="00EF07F7">
        <w:t xml:space="preserve">Three rotor blades were replaced by new ones with a longer span at </w:t>
      </w:r>
      <w:bookmarkStart w:id="0" w:name="_Hlk89249166"/>
      <w:r w:rsidR="0030044E" w:rsidRPr="00EF07F7">
        <w:t xml:space="preserve">Experimental </w:t>
      </w:r>
      <w:proofErr w:type="spellStart"/>
      <w:r w:rsidR="0030044E" w:rsidRPr="00EF07F7">
        <w:t>Cener-Alaiz</w:t>
      </w:r>
      <w:proofErr w:type="spellEnd"/>
      <w:r w:rsidR="0030044E" w:rsidRPr="00EF07F7">
        <w:t xml:space="preserve"> </w:t>
      </w:r>
      <w:bookmarkEnd w:id="0"/>
      <w:r w:rsidRPr="00EF07F7">
        <w:t xml:space="preserve">wind farm in Navarra, Spain </w:t>
      </w:r>
    </w:p>
    <w:p w14:paraId="2B9A725E" w14:textId="77777777" w:rsidR="00134A15" w:rsidRPr="00EF07F7" w:rsidRDefault="005B299E" w:rsidP="00DE6DFA">
      <w:pPr>
        <w:pStyle w:val="Bulletpoints11Pt"/>
        <w:rPr>
          <w:rFonts w:eastAsiaTheme="minorHAnsi"/>
        </w:rPr>
      </w:pPr>
      <w:r w:rsidRPr="00EF07F7">
        <w:t>LTM 1750-9.1 and LTM 1650-8.1 impress with high lifting capacities, variable boom systems and versatility</w:t>
      </w:r>
    </w:p>
    <w:p w14:paraId="5F225AA9" w14:textId="77777777" w:rsidR="00492B07" w:rsidRPr="00EF07F7" w:rsidRDefault="00492B07" w:rsidP="00492B07">
      <w:pPr>
        <w:pStyle w:val="Bulletpoints11Pt"/>
        <w:numPr>
          <w:ilvl w:val="0"/>
          <w:numId w:val="0"/>
        </w:numPr>
        <w:ind w:left="284"/>
        <w:rPr>
          <w:rFonts w:ascii="Liebherr Text" w:hAnsi="Liebherr Text"/>
        </w:rPr>
      </w:pPr>
    </w:p>
    <w:p w14:paraId="43FCEF6B" w14:textId="4FFEB902" w:rsidR="00F208D6" w:rsidRPr="00EF07F7" w:rsidRDefault="005B299E" w:rsidP="002273FA">
      <w:pPr>
        <w:pStyle w:val="Copytext11Pt"/>
        <w:rPr>
          <w:rFonts w:eastAsiaTheme="minorEastAsia" w:cstheme="minorBidi"/>
          <w:b/>
          <w:noProof/>
          <w:szCs w:val="22"/>
        </w:rPr>
      </w:pPr>
      <w:r w:rsidRPr="00EF07F7">
        <w:rPr>
          <w:b/>
          <w:szCs w:val="22"/>
        </w:rPr>
        <w:t xml:space="preserve">Crane and transport contractor </w:t>
      </w:r>
      <w:proofErr w:type="spellStart"/>
      <w:r w:rsidRPr="00EF07F7">
        <w:rPr>
          <w:b/>
          <w:szCs w:val="22"/>
        </w:rPr>
        <w:t>Grúas</w:t>
      </w:r>
      <w:proofErr w:type="spellEnd"/>
      <w:r w:rsidRPr="00EF07F7">
        <w:rPr>
          <w:b/>
          <w:szCs w:val="22"/>
        </w:rPr>
        <w:t xml:space="preserve"> </w:t>
      </w:r>
      <w:proofErr w:type="spellStart"/>
      <w:r w:rsidRPr="00EF07F7">
        <w:rPr>
          <w:b/>
          <w:szCs w:val="22"/>
        </w:rPr>
        <w:t>Ibarrondo</w:t>
      </w:r>
      <w:proofErr w:type="spellEnd"/>
      <w:r w:rsidRPr="00EF07F7">
        <w:rPr>
          <w:b/>
          <w:szCs w:val="22"/>
        </w:rPr>
        <w:t xml:space="preserve"> took two </w:t>
      </w:r>
      <w:proofErr w:type="spellStart"/>
      <w:r w:rsidRPr="00EF07F7">
        <w:rPr>
          <w:b/>
          <w:szCs w:val="22"/>
        </w:rPr>
        <w:t>Liebherr</w:t>
      </w:r>
      <w:proofErr w:type="spellEnd"/>
      <w:r w:rsidRPr="00EF07F7">
        <w:rPr>
          <w:b/>
          <w:szCs w:val="22"/>
        </w:rPr>
        <w:t xml:space="preserve"> mobile cranes, an LTM</w:t>
      </w:r>
      <w:r w:rsidR="009033EE" w:rsidRPr="00EF07F7">
        <w:rPr>
          <w:b/>
          <w:szCs w:val="22"/>
        </w:rPr>
        <w:t> </w:t>
      </w:r>
      <w:r w:rsidRPr="00EF07F7">
        <w:rPr>
          <w:b/>
          <w:szCs w:val="22"/>
        </w:rPr>
        <w:t xml:space="preserve">1750-9.1 </w:t>
      </w:r>
      <w:r w:rsidR="00183EE4" w:rsidRPr="00EF07F7">
        <w:rPr>
          <w:b/>
          <w:szCs w:val="22"/>
        </w:rPr>
        <w:t>and an LTM 1650-8.1, the first in Spain,</w:t>
      </w:r>
      <w:r w:rsidRPr="00EF07F7">
        <w:rPr>
          <w:b/>
          <w:szCs w:val="22"/>
        </w:rPr>
        <w:t xml:space="preserve"> to the </w:t>
      </w:r>
      <w:r w:rsidR="0034000E" w:rsidRPr="00EF07F7">
        <w:rPr>
          <w:b/>
          <w:szCs w:val="22"/>
        </w:rPr>
        <w:t xml:space="preserve">Experimental </w:t>
      </w:r>
      <w:proofErr w:type="spellStart"/>
      <w:r w:rsidR="0034000E" w:rsidRPr="00EF07F7">
        <w:rPr>
          <w:b/>
          <w:szCs w:val="22"/>
        </w:rPr>
        <w:t>Cener-Alaiz</w:t>
      </w:r>
      <w:proofErr w:type="spellEnd"/>
      <w:r w:rsidR="0034000E" w:rsidRPr="00EF07F7">
        <w:rPr>
          <w:b/>
          <w:szCs w:val="22"/>
        </w:rPr>
        <w:t xml:space="preserve"> </w:t>
      </w:r>
      <w:r w:rsidRPr="00EF07F7">
        <w:rPr>
          <w:b/>
          <w:szCs w:val="22"/>
        </w:rPr>
        <w:t xml:space="preserve">wind farm in Navarra, Spain, to replace three rotor blades on a wind turbine. The 650 tonne crane </w:t>
      </w:r>
      <w:proofErr w:type="gramStart"/>
      <w:r w:rsidRPr="00EF07F7">
        <w:rPr>
          <w:b/>
          <w:szCs w:val="22"/>
        </w:rPr>
        <w:t>has been added</w:t>
      </w:r>
      <w:proofErr w:type="gramEnd"/>
      <w:r w:rsidRPr="00EF07F7">
        <w:rPr>
          <w:b/>
          <w:szCs w:val="22"/>
        </w:rPr>
        <w:t xml:space="preserve"> to the </w:t>
      </w:r>
      <w:proofErr w:type="spellStart"/>
      <w:r w:rsidRPr="00EF07F7">
        <w:rPr>
          <w:b/>
          <w:szCs w:val="22"/>
        </w:rPr>
        <w:t>Grúas</w:t>
      </w:r>
      <w:proofErr w:type="spellEnd"/>
      <w:r w:rsidRPr="00EF07F7">
        <w:rPr>
          <w:b/>
          <w:szCs w:val="22"/>
        </w:rPr>
        <w:t xml:space="preserve"> </w:t>
      </w:r>
      <w:proofErr w:type="spellStart"/>
      <w:r w:rsidRPr="00EF07F7">
        <w:rPr>
          <w:b/>
          <w:szCs w:val="22"/>
        </w:rPr>
        <w:t>Ibarrondo</w:t>
      </w:r>
      <w:proofErr w:type="spellEnd"/>
      <w:r w:rsidRPr="00EF07F7">
        <w:rPr>
          <w:b/>
          <w:szCs w:val="22"/>
        </w:rPr>
        <w:t xml:space="preserve"> fleet and will strengthen the company’s position on the market.</w:t>
      </w:r>
    </w:p>
    <w:p w14:paraId="5979B688" w14:textId="30CF8AFD" w:rsidR="00B77B69" w:rsidRPr="00A46E69" w:rsidRDefault="002273FA" w:rsidP="00A46E69">
      <w:pPr>
        <w:pStyle w:val="Copytext11Pt"/>
      </w:pPr>
      <w:proofErr w:type="spellStart"/>
      <w:r w:rsidRPr="00EF07F7">
        <w:t>Ehingen</w:t>
      </w:r>
      <w:proofErr w:type="spellEnd"/>
      <w:r w:rsidRPr="00EF07F7">
        <w:t xml:space="preserve"> (</w:t>
      </w:r>
      <w:proofErr w:type="spellStart"/>
      <w:r w:rsidRPr="00EF07F7">
        <w:t>Donau</w:t>
      </w:r>
      <w:proofErr w:type="spellEnd"/>
      <w:r w:rsidRPr="00EF07F7">
        <w:t xml:space="preserve">) (Germany), </w:t>
      </w:r>
      <w:r w:rsidR="006E1F2A">
        <w:t>6</w:t>
      </w:r>
      <w:r w:rsidRPr="00EF07F7">
        <w:t xml:space="preserve"> December 2021 – In September, </w:t>
      </w:r>
      <w:proofErr w:type="spellStart"/>
      <w:r w:rsidRPr="00EF07F7">
        <w:t>Grúas</w:t>
      </w:r>
      <w:proofErr w:type="spellEnd"/>
      <w:r w:rsidRPr="00EF07F7">
        <w:t xml:space="preserve"> </w:t>
      </w:r>
      <w:proofErr w:type="spellStart"/>
      <w:r w:rsidRPr="00EF07F7">
        <w:t>Ibarrondo</w:t>
      </w:r>
      <w:proofErr w:type="spellEnd"/>
      <w:r w:rsidRPr="00EF07F7">
        <w:t xml:space="preserve"> replaced three rotor blades on an SG 4.X wind turbine, each measuring 64.5 metres in length and weighing in at 24 tonnes, with new rotor blades with a larger span, a length of 71.5 metres and weighing 22.5 tonnes each. The job at the </w:t>
      </w:r>
      <w:r w:rsidR="00E5276B" w:rsidRPr="00EF07F7">
        <w:rPr>
          <w:szCs w:val="22"/>
        </w:rPr>
        <w:t xml:space="preserve">Experimental </w:t>
      </w:r>
      <w:proofErr w:type="spellStart"/>
      <w:r w:rsidR="00E5276B" w:rsidRPr="00EF07F7">
        <w:rPr>
          <w:szCs w:val="22"/>
        </w:rPr>
        <w:t>Cener-Alaiz</w:t>
      </w:r>
      <w:proofErr w:type="spellEnd"/>
      <w:r w:rsidR="00E5276B" w:rsidRPr="00EF07F7">
        <w:rPr>
          <w:szCs w:val="22"/>
        </w:rPr>
        <w:t xml:space="preserve"> </w:t>
      </w:r>
      <w:r w:rsidRPr="00EF07F7">
        <w:t xml:space="preserve">wind farm in Navarra </w:t>
      </w:r>
      <w:proofErr w:type="gramStart"/>
      <w:r w:rsidRPr="00EF07F7">
        <w:t>was carried</w:t>
      </w:r>
      <w:proofErr w:type="gramEnd"/>
      <w:r w:rsidRPr="00EF07F7">
        <w:t xml:space="preserve"> out using two </w:t>
      </w:r>
      <w:proofErr w:type="spellStart"/>
      <w:r w:rsidRPr="00EF07F7">
        <w:t>Liebherr</w:t>
      </w:r>
      <w:proofErr w:type="spellEnd"/>
      <w:r w:rsidRPr="00EF07F7">
        <w:t xml:space="preserve"> mobile cranes, the 9-axle LTM 1750-9.1 </w:t>
      </w:r>
      <w:r w:rsidRPr="00EF07F7">
        <w:rPr>
          <w:bCs/>
        </w:rPr>
        <w:t>and</w:t>
      </w:r>
      <w:r w:rsidR="00E5276B" w:rsidRPr="00EF07F7">
        <w:rPr>
          <w:bCs/>
        </w:rPr>
        <w:t xml:space="preserve"> the first</w:t>
      </w:r>
      <w:bookmarkStart w:id="1" w:name="_Hlk89250079"/>
      <w:r w:rsidR="00E5276B" w:rsidRPr="00EF07F7">
        <w:rPr>
          <w:bCs/>
        </w:rPr>
        <w:t xml:space="preserve"> </w:t>
      </w:r>
      <w:r w:rsidRPr="00EF07F7">
        <w:rPr>
          <w:bCs/>
        </w:rPr>
        <w:t>8-axle LTM 1650-8.1</w:t>
      </w:r>
      <w:r w:rsidR="00E5276B" w:rsidRPr="00EF07F7">
        <w:rPr>
          <w:bCs/>
        </w:rPr>
        <w:t xml:space="preserve"> in Spain</w:t>
      </w:r>
      <w:r w:rsidRPr="00EF07F7">
        <w:rPr>
          <w:bCs/>
        </w:rPr>
        <w:t>.</w:t>
      </w:r>
      <w:r w:rsidRPr="00EF07F7">
        <w:t xml:space="preserve"> </w:t>
      </w:r>
      <w:bookmarkEnd w:id="1"/>
      <w:r w:rsidRPr="00EF07F7">
        <w:t xml:space="preserve">The project was “part of maintenance work which was carried out under the preventative service contract </w:t>
      </w:r>
      <w:r>
        <w:t xml:space="preserve">with our customer”, explains Mikel </w:t>
      </w:r>
      <w:proofErr w:type="spellStart"/>
      <w:r>
        <w:t>Ibarrondo</w:t>
      </w:r>
      <w:proofErr w:type="spellEnd"/>
      <w:r>
        <w:t xml:space="preserve">, General Manager of </w:t>
      </w:r>
      <w:proofErr w:type="spellStart"/>
      <w:r>
        <w:t>Grúas</w:t>
      </w:r>
      <w:proofErr w:type="spellEnd"/>
      <w:r>
        <w:t xml:space="preserve"> </w:t>
      </w:r>
      <w:proofErr w:type="spellStart"/>
      <w:r>
        <w:t>Ibarrondo</w:t>
      </w:r>
      <w:proofErr w:type="spellEnd"/>
      <w:r>
        <w:t xml:space="preserve">. </w:t>
      </w:r>
    </w:p>
    <w:p w14:paraId="2D5C775E" w14:textId="77777777" w:rsidR="001E75E4" w:rsidRPr="00A46E69" w:rsidRDefault="005B299E" w:rsidP="002273FA">
      <w:pPr>
        <w:pStyle w:val="Copytext11Pt"/>
      </w:pPr>
      <w:r>
        <w:t xml:space="preserve">The </w:t>
      </w:r>
      <w:proofErr w:type="spellStart"/>
      <w:r>
        <w:t>Liebherr</w:t>
      </w:r>
      <w:proofErr w:type="spellEnd"/>
      <w:r>
        <w:t xml:space="preserve"> mobile cranes worked in tandem using a hook height of 130 metres. “</w:t>
      </w:r>
      <w:proofErr w:type="spellStart"/>
      <w:r>
        <w:t>Liebherr</w:t>
      </w:r>
      <w:proofErr w:type="spellEnd"/>
      <w:r>
        <w:t xml:space="preserve"> mobile cranes are ideal for wind energy projects of this type as they are manoeuvrable and easy to position. They also deliver the required height and lifting capacity”, continues Mikel </w:t>
      </w:r>
      <w:proofErr w:type="spellStart"/>
      <w:r>
        <w:t>Ibarrondo</w:t>
      </w:r>
      <w:proofErr w:type="spellEnd"/>
      <w:r>
        <w:t xml:space="preserve">. One of the major challenges for this job was to reach the specified height whilst also ensuring that the required lifting capacity </w:t>
      </w:r>
      <w:proofErr w:type="gramStart"/>
      <w:r>
        <w:t>could be delivered</w:t>
      </w:r>
      <w:proofErr w:type="gramEnd"/>
      <w:r>
        <w:t xml:space="preserve"> at that height. Furthermore, the cranes had to be controlled very sensitively as they had to install the turbine blades in tandem.</w:t>
      </w:r>
    </w:p>
    <w:p w14:paraId="4F5C2392" w14:textId="7119F979" w:rsidR="0053214A" w:rsidRPr="00A46E69" w:rsidRDefault="005B299E" w:rsidP="00A46E69">
      <w:pPr>
        <w:pStyle w:val="Copytext11Pt"/>
      </w:pPr>
      <w:proofErr w:type="spellStart"/>
      <w:r>
        <w:t>Grúas</w:t>
      </w:r>
      <w:proofErr w:type="spellEnd"/>
      <w:r>
        <w:t xml:space="preserve"> </w:t>
      </w:r>
      <w:proofErr w:type="spellStart"/>
      <w:r>
        <w:t>Ibarrondo</w:t>
      </w:r>
      <w:proofErr w:type="spellEnd"/>
      <w:r>
        <w:t xml:space="preserve"> has always pursued a policy of the continuous modernisation of its fleet with the aim of providing its customers with excellent service quality using its technically up to date and </w:t>
      </w:r>
      <w:r w:rsidR="00D90FCD">
        <w:t>well-maintained</w:t>
      </w:r>
      <w:r>
        <w:t xml:space="preserve"> fleet. The company has worked with </w:t>
      </w:r>
      <w:proofErr w:type="spellStart"/>
      <w:r>
        <w:t>Liebherr</w:t>
      </w:r>
      <w:proofErr w:type="spellEnd"/>
      <w:r>
        <w:t xml:space="preserve"> cranes for many years for this reason and to date has certainly recorded a great deal of positive experience. “The products developed and manufactured with the </w:t>
      </w:r>
      <w:proofErr w:type="spellStart"/>
      <w:r>
        <w:t>Liebherr</w:t>
      </w:r>
      <w:proofErr w:type="spellEnd"/>
      <w:r>
        <w:t xml:space="preserve"> brand deliver premium technology and quality and guarantee us having a reliable partner at our side in the long term”, says </w:t>
      </w:r>
      <w:proofErr w:type="spellStart"/>
      <w:r>
        <w:t>Ibarrondo</w:t>
      </w:r>
      <w:proofErr w:type="spellEnd"/>
      <w:r>
        <w:t xml:space="preserve"> finally. One of the key factors behind its trust in </w:t>
      </w:r>
      <w:proofErr w:type="spellStart"/>
      <w:r>
        <w:t>Liebherr</w:t>
      </w:r>
      <w:proofErr w:type="spellEnd"/>
      <w:r>
        <w:t xml:space="preserve"> is the outstanding customer service, which is provided in Spain by </w:t>
      </w:r>
      <w:proofErr w:type="spellStart"/>
      <w:r>
        <w:t>Liebherr</w:t>
      </w:r>
      <w:proofErr w:type="spellEnd"/>
      <w:r>
        <w:t xml:space="preserve"> </w:t>
      </w:r>
      <w:proofErr w:type="spellStart"/>
      <w:r>
        <w:t>Ibérica</w:t>
      </w:r>
      <w:proofErr w:type="spellEnd"/>
      <w:r>
        <w:t xml:space="preserve"> and gives the company the facility to obtain support at any time and in any place, which is particularly </w:t>
      </w:r>
      <w:proofErr w:type="gramStart"/>
      <w:r>
        <w:t>helpful</w:t>
      </w:r>
      <w:proofErr w:type="gramEnd"/>
      <w:r>
        <w:t xml:space="preserve"> as the cranes often have to work in challenging environments. The company’s fleet consists of 66 cranes, 41 of which are </w:t>
      </w:r>
      <w:proofErr w:type="spellStart"/>
      <w:r>
        <w:lastRenderedPageBreak/>
        <w:t>Liebherr</w:t>
      </w:r>
      <w:proofErr w:type="spellEnd"/>
      <w:r>
        <w:t xml:space="preserve"> cranes, including almost every model in the LTM mobile crane series as well as a 750 tonne LG</w:t>
      </w:r>
      <w:r w:rsidR="009033EE">
        <w:t> </w:t>
      </w:r>
      <w:r>
        <w:t xml:space="preserve">1750 lattice boom crane. </w:t>
      </w:r>
    </w:p>
    <w:p w14:paraId="1CCD6A63" w14:textId="77777777" w:rsidR="00A46E69" w:rsidRPr="00A46E69" w:rsidRDefault="00A46E69" w:rsidP="00A46E69">
      <w:pPr>
        <w:pStyle w:val="BoilerplateCopyhead9Pt"/>
      </w:pPr>
      <w:r>
        <w:t xml:space="preserve">About </w:t>
      </w:r>
      <w:proofErr w:type="spellStart"/>
      <w:r>
        <w:t>Grúas</w:t>
      </w:r>
      <w:proofErr w:type="spellEnd"/>
      <w:r>
        <w:t xml:space="preserve"> </w:t>
      </w:r>
      <w:proofErr w:type="spellStart"/>
      <w:r>
        <w:t>Ibarrondo</w:t>
      </w:r>
      <w:proofErr w:type="spellEnd"/>
      <w:r>
        <w:t xml:space="preserve"> </w:t>
      </w:r>
    </w:p>
    <w:p w14:paraId="0F772359" w14:textId="77777777" w:rsidR="00A46E69" w:rsidRPr="00A46E69" w:rsidRDefault="00A46E69" w:rsidP="00A46E69">
      <w:pPr>
        <w:pStyle w:val="BoilerplateCopytext9Pt"/>
      </w:pPr>
      <w:proofErr w:type="spellStart"/>
      <w:r>
        <w:t>Grúas</w:t>
      </w:r>
      <w:proofErr w:type="spellEnd"/>
      <w:r>
        <w:t xml:space="preserve"> </w:t>
      </w:r>
      <w:proofErr w:type="spellStart"/>
      <w:r>
        <w:t>Ibarrondo</w:t>
      </w:r>
      <w:proofErr w:type="spellEnd"/>
      <w:r>
        <w:t xml:space="preserve"> </w:t>
      </w:r>
      <w:proofErr w:type="gramStart"/>
      <w:r>
        <w:t>was founded</w:t>
      </w:r>
      <w:proofErr w:type="gramEnd"/>
      <w:r>
        <w:t xml:space="preserve"> in 1956 as a family-run transport business. To meet the needs and demands of the market led, the company bought its first 18 tonne crane in 1970, which opened up </w:t>
      </w:r>
      <w:proofErr w:type="gramStart"/>
      <w:r>
        <w:t>whole</w:t>
      </w:r>
      <w:proofErr w:type="gramEnd"/>
      <w:r>
        <w:t xml:space="preserve"> new areas of work and business sectors. This was also the point at which the company changed its name to </w:t>
      </w:r>
      <w:proofErr w:type="spellStart"/>
      <w:r>
        <w:t>Grúas</w:t>
      </w:r>
      <w:proofErr w:type="spellEnd"/>
      <w:r>
        <w:t xml:space="preserve"> y </w:t>
      </w:r>
      <w:proofErr w:type="spellStart"/>
      <w:r>
        <w:t>Transportes</w:t>
      </w:r>
      <w:proofErr w:type="spellEnd"/>
      <w:r>
        <w:t xml:space="preserve"> </w:t>
      </w:r>
      <w:proofErr w:type="spellStart"/>
      <w:r>
        <w:t>Ibarrondo</w:t>
      </w:r>
      <w:proofErr w:type="spellEnd"/>
      <w:r>
        <w:t xml:space="preserve"> S.A. The company has now developed into a reference for the sector thanks to its reliability and the quality of its services. With a 140-strong workforce, the company now supplies its solutions to a very wide range of sectors – industrial businesses, refineries, steelworks, shipbuilding yards, wind farms and ports, to name just a few. A successful business based on the values of solidity, experience, competence and corporate responsibility.</w:t>
      </w:r>
    </w:p>
    <w:p w14:paraId="6893B677" w14:textId="77777777" w:rsidR="00DC49A9" w:rsidRPr="00A46E69" w:rsidRDefault="005B299E" w:rsidP="00A46E69">
      <w:pPr>
        <w:pStyle w:val="BoilerplateCopyhead9Pt"/>
      </w:pPr>
      <w:r>
        <w:t xml:space="preserve">About </w:t>
      </w:r>
      <w:proofErr w:type="spellStart"/>
      <w:r>
        <w:t>Liebherr</w:t>
      </w:r>
      <w:proofErr w:type="spellEnd"/>
      <w:r>
        <w:t xml:space="preserve"> </w:t>
      </w:r>
      <w:proofErr w:type="spellStart"/>
      <w:r>
        <w:t>Ibérica</w:t>
      </w:r>
      <w:proofErr w:type="spellEnd"/>
      <w:r>
        <w:t>, S.L.</w:t>
      </w:r>
    </w:p>
    <w:p w14:paraId="05CBE8B9" w14:textId="77777777" w:rsidR="00DC49A9" w:rsidRPr="00A46E69" w:rsidRDefault="005B299E" w:rsidP="00A46E69">
      <w:pPr>
        <w:pStyle w:val="BoilerplateCopytext9Pt"/>
      </w:pPr>
      <w:proofErr w:type="spellStart"/>
      <w:r>
        <w:t>Liebherr</w:t>
      </w:r>
      <w:proofErr w:type="spellEnd"/>
      <w:r>
        <w:t xml:space="preserve"> </w:t>
      </w:r>
      <w:proofErr w:type="spellStart"/>
      <w:r>
        <w:t>Ibérica</w:t>
      </w:r>
      <w:proofErr w:type="spellEnd"/>
      <w:r>
        <w:t xml:space="preserve"> is the </w:t>
      </w:r>
      <w:proofErr w:type="spellStart"/>
      <w:r>
        <w:t>Liebherr</w:t>
      </w:r>
      <w:proofErr w:type="spellEnd"/>
      <w:r>
        <w:t xml:space="preserve"> Group’s Spanish sales and </w:t>
      </w:r>
      <w:proofErr w:type="gramStart"/>
      <w:r>
        <w:t>service company</w:t>
      </w:r>
      <w:proofErr w:type="gramEnd"/>
      <w:r>
        <w:t xml:space="preserve"> and was founded in 1988. Today, </w:t>
      </w:r>
      <w:proofErr w:type="spellStart"/>
      <w:r>
        <w:t>Liebherr</w:t>
      </w:r>
      <w:proofErr w:type="spellEnd"/>
      <w:r>
        <w:t xml:space="preserve"> </w:t>
      </w:r>
      <w:proofErr w:type="spellStart"/>
      <w:r>
        <w:t>Ibérica</w:t>
      </w:r>
      <w:proofErr w:type="spellEnd"/>
      <w:r>
        <w:t xml:space="preserve"> is responsible for the sales and customer service of the Mobile Cranes, Earthmoving, Mining, Maritime Cranes and Concrete Technology Business Units.</w:t>
      </w:r>
    </w:p>
    <w:p w14:paraId="7AABAD7D" w14:textId="77777777" w:rsidR="00C435FC" w:rsidRPr="00C435FC" w:rsidRDefault="00C435FC" w:rsidP="005A482A">
      <w:pPr>
        <w:pStyle w:val="BoilerplateCopyhead9Pt"/>
      </w:pPr>
      <w:r>
        <w:t xml:space="preserve">About </w:t>
      </w:r>
      <w:proofErr w:type="spellStart"/>
      <w:r>
        <w:t>Liebherr-Werk</w:t>
      </w:r>
      <w:proofErr w:type="spellEnd"/>
      <w:r>
        <w:t xml:space="preserve"> </w:t>
      </w:r>
      <w:proofErr w:type="spellStart"/>
      <w:r>
        <w:t>Ehingen</w:t>
      </w:r>
      <w:proofErr w:type="spellEnd"/>
      <w:r>
        <w:t xml:space="preserve"> GmbH</w:t>
      </w:r>
    </w:p>
    <w:p w14:paraId="272B7BAA" w14:textId="77777777" w:rsidR="00C435FC" w:rsidRPr="00C435FC" w:rsidRDefault="00C435FC" w:rsidP="005A482A">
      <w:pPr>
        <w:pStyle w:val="BoilerplateCopytext9Pt"/>
      </w:pPr>
      <w:proofErr w:type="spellStart"/>
      <w:r>
        <w:t>Liebherr-Werk</w:t>
      </w:r>
      <w:proofErr w:type="spellEnd"/>
      <w:r>
        <w:t xml:space="preserve"> </w:t>
      </w:r>
      <w:proofErr w:type="spellStart"/>
      <w:r>
        <w:t>Ehingen</w:t>
      </w:r>
      <w:proofErr w:type="spellEnd"/>
      <w:r>
        <w:t xml:space="preserve"> GmbH is a leading manufacturer of mobile and crawler cranes. Its range of mobile cranes extends from 2-axle 35 tonne cranes to </w:t>
      </w:r>
      <w:proofErr w:type="gramStart"/>
      <w:r>
        <w:t>heavy duty</w:t>
      </w:r>
      <w:proofErr w:type="gramEnd"/>
      <w:r>
        <w:t xml:space="preserve"> cranes with a lifting capacity of 1200 tonnes and a 9-axle chassis. Its lattice boom cranes on mobile or crawler crane chassis deliver lifting capacities of up to 3000 tonnes. With universal boom systems and extensive additional equipment, they </w:t>
      </w:r>
      <w:proofErr w:type="gramStart"/>
      <w:r>
        <w:t>can be seen</w:t>
      </w:r>
      <w:proofErr w:type="gramEnd"/>
      <w:r>
        <w:t xml:space="preserve"> in action on construction sites throughout the world. The </w:t>
      </w:r>
      <w:proofErr w:type="spellStart"/>
      <w:r>
        <w:t>Ehingen</w:t>
      </w:r>
      <w:proofErr w:type="spellEnd"/>
      <w:r>
        <w:t xml:space="preserve"> site has a workforce of 3,500. Extensive, global service guarantees the high availability of </w:t>
      </w:r>
      <w:proofErr w:type="spellStart"/>
      <w:r>
        <w:t>Liebherr</w:t>
      </w:r>
      <w:proofErr w:type="spellEnd"/>
      <w:r>
        <w:t xml:space="preserve"> mobile and crawler cranes. In 2020, the </w:t>
      </w:r>
      <w:proofErr w:type="spellStart"/>
      <w:r>
        <w:t>Liebherr</w:t>
      </w:r>
      <w:proofErr w:type="spellEnd"/>
      <w:r>
        <w:t xml:space="preserve"> plant in </w:t>
      </w:r>
      <w:proofErr w:type="spellStart"/>
      <w:r>
        <w:t>Ehingen</w:t>
      </w:r>
      <w:proofErr w:type="spellEnd"/>
      <w:r>
        <w:t xml:space="preserve"> recorded a turnover of 2.03 billion euros.</w:t>
      </w:r>
    </w:p>
    <w:p w14:paraId="4A33E7EC" w14:textId="77777777" w:rsidR="00A46E69" w:rsidRPr="00A46E69" w:rsidRDefault="00A46E69" w:rsidP="005A482A">
      <w:pPr>
        <w:pStyle w:val="BoilerplateCopyhead9Pt"/>
      </w:pPr>
      <w:r>
        <w:t xml:space="preserve">About the </w:t>
      </w:r>
      <w:proofErr w:type="spellStart"/>
      <w:r>
        <w:t>Liebherr</w:t>
      </w:r>
      <w:proofErr w:type="spellEnd"/>
      <w:r>
        <w:t xml:space="preserve"> Group</w:t>
      </w:r>
    </w:p>
    <w:p w14:paraId="4455274B" w14:textId="77777777" w:rsidR="00A46E69" w:rsidRPr="00A46E69" w:rsidRDefault="00A46E69" w:rsidP="005A482A">
      <w:pPr>
        <w:pStyle w:val="BoilerplateCopytext9Pt"/>
      </w:pPr>
      <w:r>
        <w:t xml:space="preserve">The </w:t>
      </w:r>
      <w:proofErr w:type="spellStart"/>
      <w:r>
        <w:t>Liebherr</w:t>
      </w:r>
      <w:proofErr w:type="spellEnd"/>
      <w:r>
        <w:t xml:space="preserve"> Group is a family-run technology company with a widely diversified product range. The company is one of the largest manufacturers of construction machines in the world. However, it also supplies high quality, user-focused products and services in many other sectors. The group currently comprises more than 140 companies based in every continent of the world. In 2020, it had a workforce of around 48,000 and recorded a consolidated total turnover of more than 10.3 billion euros. The company was founded in 1949 in </w:t>
      </w:r>
      <w:proofErr w:type="spellStart"/>
      <w:r>
        <w:t>Kirchdorf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der </w:t>
      </w:r>
      <w:proofErr w:type="spellStart"/>
      <w:r>
        <w:t>Iller</w:t>
      </w:r>
      <w:proofErr w:type="spellEnd"/>
      <w:r>
        <w:t xml:space="preserve"> in southern Germany. Since then, </w:t>
      </w:r>
      <w:proofErr w:type="spellStart"/>
      <w:r>
        <w:t>its</w:t>
      </w:r>
      <w:proofErr w:type="gramStart"/>
      <w:r>
        <w:t>,aim</w:t>
      </w:r>
      <w:proofErr w:type="spellEnd"/>
      <w:proofErr w:type="gramEnd"/>
      <w:r>
        <w:t xml:space="preserve"> has been to win customers by supplying high quality solutions and to contribute to technological progress.</w:t>
      </w:r>
    </w:p>
    <w:p w14:paraId="11D14AEE" w14:textId="77777777" w:rsidR="00A46E69" w:rsidRDefault="00A46E69" w:rsidP="00A46E69">
      <w:pPr>
        <w:pStyle w:val="BoilerplateCopytext9Pt"/>
      </w:pPr>
    </w:p>
    <w:p w14:paraId="25344868" w14:textId="77777777" w:rsidR="00F92B76" w:rsidRDefault="00F92B76" w:rsidP="00A46E69">
      <w:pPr>
        <w:pStyle w:val="BoilerplateCopytext9Pt"/>
      </w:pPr>
    </w:p>
    <w:p w14:paraId="61CA7D3E" w14:textId="77777777" w:rsidR="00F92B76" w:rsidRDefault="00F92B76" w:rsidP="00A46E69">
      <w:pPr>
        <w:pStyle w:val="BoilerplateCopytext9Pt"/>
      </w:pPr>
    </w:p>
    <w:p w14:paraId="3033ADF5" w14:textId="77777777" w:rsidR="00F92B76" w:rsidRDefault="00F92B76" w:rsidP="00A46E69">
      <w:pPr>
        <w:pStyle w:val="BoilerplateCopytext9Pt"/>
      </w:pPr>
    </w:p>
    <w:p w14:paraId="49A56233" w14:textId="67170A16" w:rsidR="00F92B76" w:rsidRDefault="00F92B76" w:rsidP="00A46E69">
      <w:pPr>
        <w:pStyle w:val="BoilerplateCopytext9Pt"/>
      </w:pPr>
    </w:p>
    <w:p w14:paraId="79EAD41E" w14:textId="4874DA88" w:rsidR="00660587" w:rsidRDefault="00660587" w:rsidP="00A46E69">
      <w:pPr>
        <w:pStyle w:val="BoilerplateCopytext9Pt"/>
      </w:pPr>
    </w:p>
    <w:p w14:paraId="45F06381" w14:textId="3AC91D8F" w:rsidR="00660587" w:rsidRDefault="00660587" w:rsidP="00A46E69">
      <w:pPr>
        <w:pStyle w:val="BoilerplateCopytext9Pt"/>
      </w:pPr>
    </w:p>
    <w:p w14:paraId="507FCE77" w14:textId="0CAC0A5F" w:rsidR="00660587" w:rsidRDefault="00660587" w:rsidP="00A46E69">
      <w:pPr>
        <w:pStyle w:val="BoilerplateCopytext9Pt"/>
      </w:pPr>
    </w:p>
    <w:p w14:paraId="3F168BC5" w14:textId="77777777" w:rsidR="00660587" w:rsidRDefault="00660587" w:rsidP="00A46E69">
      <w:pPr>
        <w:pStyle w:val="BoilerplateCopytext9Pt"/>
      </w:pPr>
    </w:p>
    <w:p w14:paraId="68B52254" w14:textId="77777777" w:rsidR="00F92B76" w:rsidRDefault="00F92B76" w:rsidP="00A46E69">
      <w:pPr>
        <w:pStyle w:val="BoilerplateCopytext9Pt"/>
      </w:pPr>
    </w:p>
    <w:p w14:paraId="07F2EEA0" w14:textId="77777777" w:rsidR="00F92B76" w:rsidRDefault="00F92B76" w:rsidP="00A46E69">
      <w:pPr>
        <w:pStyle w:val="BoilerplateCopytext9Pt"/>
      </w:pPr>
    </w:p>
    <w:p w14:paraId="0DB91824" w14:textId="1BC3A623" w:rsidR="00A46E69" w:rsidRPr="00F92B76" w:rsidRDefault="00F92B76" w:rsidP="002273FA">
      <w:pPr>
        <w:pStyle w:val="LHbase-type11ptregular"/>
        <w:spacing w:after="160" w:line="259" w:lineRule="auto"/>
        <w:rPr>
          <w:rFonts w:cs="Arial"/>
          <w:b/>
          <w:color w:val="000000"/>
          <w:szCs w:val="22"/>
        </w:rPr>
      </w:pPr>
      <w:r>
        <w:rPr>
          <w:b/>
          <w:color w:val="000000"/>
          <w:szCs w:val="22"/>
        </w:rPr>
        <w:t>Photograph</w:t>
      </w:r>
    </w:p>
    <w:p w14:paraId="10DFD068" w14:textId="77777777" w:rsidR="00BD5760" w:rsidRDefault="00E91A4A" w:rsidP="002273FA">
      <w:pPr>
        <w:rPr>
          <w:rFonts w:ascii="Liebherr Text" w:eastAsia="Calibri" w:hAnsi="Liebherr Text" w:cs="Arial"/>
          <w:sz w:val="20"/>
          <w:szCs w:val="20"/>
        </w:rPr>
      </w:pPr>
      <w:r>
        <w:rPr>
          <w:rFonts w:ascii="Liebherr Text" w:hAnsi="Liebherr Text"/>
          <w:noProof/>
          <w:sz w:val="20"/>
          <w:szCs w:val="20"/>
          <w:lang w:val="de-DE" w:eastAsia="de-DE"/>
        </w:rPr>
        <w:drawing>
          <wp:inline distT="0" distB="0" distL="0" distR="0" wp14:anchorId="04A3650B" wp14:editId="0B6805B8">
            <wp:extent cx="5667219" cy="3775554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ebherr-gruas-ibarrondo-96dp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968" cy="378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AE983" w14:textId="153C5071" w:rsidR="00C25CE2" w:rsidRPr="00E91A4A" w:rsidRDefault="005A482A" w:rsidP="005A482A">
      <w:pPr>
        <w:pStyle w:val="Caption9Pt"/>
        <w:rPr>
          <w:rFonts w:eastAsiaTheme="minorHAnsi"/>
        </w:rPr>
      </w:pPr>
      <w:proofErr w:type="gramStart"/>
      <w:r>
        <w:t>l</w:t>
      </w:r>
      <w:r w:rsidR="00E91A4A">
        <w:t>iebherr-gruas-iarrondo.jpg</w:t>
      </w:r>
      <w:proofErr w:type="gramEnd"/>
      <w:r w:rsidR="00E91A4A">
        <w:br/>
        <w:t xml:space="preserve">Two </w:t>
      </w:r>
      <w:proofErr w:type="spellStart"/>
      <w:r w:rsidR="00E91A4A">
        <w:t>Liebherr</w:t>
      </w:r>
      <w:proofErr w:type="spellEnd"/>
      <w:r w:rsidR="00E91A4A">
        <w:t xml:space="preserve"> mobile cranes, an LTM 1750-9.1 and an LTM 1650.8.1 from </w:t>
      </w:r>
      <w:proofErr w:type="spellStart"/>
      <w:r w:rsidR="00E91A4A">
        <w:t>Grúas</w:t>
      </w:r>
      <w:proofErr w:type="spellEnd"/>
      <w:r w:rsidR="00E91A4A">
        <w:t xml:space="preserve"> </w:t>
      </w:r>
      <w:proofErr w:type="spellStart"/>
      <w:r w:rsidR="00E91A4A">
        <w:t>Ibarrondo</w:t>
      </w:r>
      <w:proofErr w:type="spellEnd"/>
      <w:r w:rsidR="00E91A4A">
        <w:t xml:space="preserve"> replacing three rotor blades on a wind turbine at the </w:t>
      </w:r>
      <w:proofErr w:type="spellStart"/>
      <w:r w:rsidR="00E91A4A">
        <w:t>Cener-Alaiz</w:t>
      </w:r>
      <w:proofErr w:type="spellEnd"/>
      <w:r w:rsidR="00E91A4A">
        <w:t xml:space="preserve"> experimental offshore wind farm.</w:t>
      </w:r>
    </w:p>
    <w:p w14:paraId="55ED4E95" w14:textId="77777777" w:rsidR="00B57FCE" w:rsidRPr="0030044E" w:rsidRDefault="00B57FCE" w:rsidP="002273FA">
      <w:pPr>
        <w:pStyle w:val="Caption9Pt"/>
        <w:rPr>
          <w:color w:val="000000"/>
        </w:rPr>
      </w:pPr>
    </w:p>
    <w:p w14:paraId="0BEC9E0C" w14:textId="77777777" w:rsidR="00B57FCE" w:rsidRPr="0030044E" w:rsidRDefault="00B57FCE" w:rsidP="002273FA">
      <w:pPr>
        <w:pStyle w:val="Caption9Pt"/>
        <w:rPr>
          <w:color w:val="000000"/>
        </w:rPr>
      </w:pPr>
    </w:p>
    <w:p w14:paraId="0F77E5C3" w14:textId="77777777" w:rsidR="00B57FCE" w:rsidRPr="0030044E" w:rsidRDefault="00B57FCE" w:rsidP="002273FA">
      <w:pPr>
        <w:pStyle w:val="Caption9Pt"/>
        <w:rPr>
          <w:color w:val="000000"/>
        </w:rPr>
      </w:pPr>
    </w:p>
    <w:p w14:paraId="05B6348C" w14:textId="77777777" w:rsidR="00B57FCE" w:rsidRPr="0030044E" w:rsidRDefault="00B57FCE" w:rsidP="002273FA">
      <w:pPr>
        <w:pStyle w:val="Caption9Pt"/>
        <w:rPr>
          <w:color w:val="000000"/>
        </w:rPr>
      </w:pPr>
    </w:p>
    <w:p w14:paraId="3A0A9602" w14:textId="77777777" w:rsidR="00C435FC" w:rsidRPr="00C435FC" w:rsidRDefault="00C435FC" w:rsidP="00C435FC">
      <w:pPr>
        <w:pStyle w:val="Copyhead11Pt"/>
      </w:pPr>
      <w:r>
        <w:t>Contacts</w:t>
      </w:r>
    </w:p>
    <w:p w14:paraId="43299894" w14:textId="77777777" w:rsidR="00C435FC" w:rsidRPr="00C435FC" w:rsidRDefault="00C435FC" w:rsidP="00C435FC">
      <w:pPr>
        <w:spacing w:after="300" w:line="300" w:lineRule="exact"/>
        <w:rPr>
          <w:rFonts w:ascii="Arial" w:eastAsia="Times New Roman" w:hAnsi="Arial"/>
          <w:szCs w:val="18"/>
        </w:rPr>
      </w:pPr>
      <w:r>
        <w:rPr>
          <w:rFonts w:ascii="Arial" w:hAnsi="Arial"/>
          <w:szCs w:val="18"/>
        </w:rPr>
        <w:t>Wolfgang Beringer</w:t>
      </w:r>
      <w:r>
        <w:rPr>
          <w:rFonts w:ascii="Arial" w:hAnsi="Arial"/>
          <w:szCs w:val="18"/>
        </w:rPr>
        <w:br/>
        <w:t>Marketing and Communication</w:t>
      </w:r>
      <w:r>
        <w:rPr>
          <w:rFonts w:ascii="Arial" w:hAnsi="Arial"/>
          <w:szCs w:val="18"/>
        </w:rPr>
        <w:br/>
        <w:t>Phone: +49 7391/502 - 3663</w:t>
      </w:r>
      <w:r>
        <w:rPr>
          <w:rFonts w:ascii="Arial" w:hAnsi="Arial"/>
          <w:szCs w:val="18"/>
        </w:rPr>
        <w:br/>
        <w:t>Email: wolfgang.beringer@liebherr.com</w:t>
      </w:r>
    </w:p>
    <w:p w14:paraId="2DCF350B" w14:textId="77777777" w:rsidR="00C435FC" w:rsidRPr="00C435FC" w:rsidRDefault="00C435FC" w:rsidP="005A482A">
      <w:pPr>
        <w:pStyle w:val="Copyhead11Pt"/>
      </w:pPr>
      <w:r>
        <w:t>Publis</w:t>
      </w:r>
      <w:bookmarkStart w:id="2" w:name="_GoBack"/>
      <w:bookmarkEnd w:id="2"/>
      <w:r>
        <w:t>hed by</w:t>
      </w:r>
    </w:p>
    <w:p w14:paraId="0132A138" w14:textId="77777777" w:rsidR="00C435FC" w:rsidRPr="00C435FC" w:rsidRDefault="00C435FC" w:rsidP="00C435FC">
      <w:pPr>
        <w:spacing w:after="300" w:line="300" w:lineRule="exact"/>
        <w:rPr>
          <w:rFonts w:ascii="Arial" w:eastAsia="Times New Roman" w:hAnsi="Arial"/>
          <w:szCs w:val="18"/>
        </w:rPr>
      </w:pPr>
      <w:proofErr w:type="spellStart"/>
      <w:r>
        <w:rPr>
          <w:rFonts w:ascii="Arial" w:hAnsi="Arial"/>
          <w:szCs w:val="18"/>
        </w:rPr>
        <w:t>Liebherr-Werk</w:t>
      </w:r>
      <w:proofErr w:type="spellEnd"/>
      <w:r>
        <w:rPr>
          <w:rFonts w:ascii="Arial" w:hAnsi="Arial"/>
          <w:szCs w:val="18"/>
        </w:rPr>
        <w:t xml:space="preserve"> </w:t>
      </w:r>
      <w:proofErr w:type="spellStart"/>
      <w:r>
        <w:rPr>
          <w:rFonts w:ascii="Arial" w:hAnsi="Arial"/>
          <w:szCs w:val="18"/>
        </w:rPr>
        <w:t>Ehingen</w:t>
      </w:r>
      <w:proofErr w:type="spellEnd"/>
      <w:r>
        <w:rPr>
          <w:rFonts w:ascii="Arial" w:hAnsi="Arial"/>
          <w:szCs w:val="18"/>
        </w:rPr>
        <w:t xml:space="preserve"> GmbH</w:t>
      </w:r>
      <w:r>
        <w:rPr>
          <w:rFonts w:ascii="Arial" w:hAnsi="Arial"/>
          <w:szCs w:val="18"/>
        </w:rPr>
        <w:br/>
      </w:r>
      <w:proofErr w:type="spellStart"/>
      <w:r>
        <w:rPr>
          <w:rFonts w:ascii="Arial" w:hAnsi="Arial"/>
          <w:szCs w:val="18"/>
        </w:rPr>
        <w:t>Ehingen</w:t>
      </w:r>
      <w:proofErr w:type="spellEnd"/>
      <w:r>
        <w:rPr>
          <w:rFonts w:ascii="Arial" w:hAnsi="Arial"/>
          <w:szCs w:val="18"/>
        </w:rPr>
        <w:t xml:space="preserve"> (</w:t>
      </w:r>
      <w:proofErr w:type="spellStart"/>
      <w:r>
        <w:rPr>
          <w:rFonts w:ascii="Arial" w:hAnsi="Arial"/>
          <w:szCs w:val="18"/>
        </w:rPr>
        <w:t>Donau</w:t>
      </w:r>
      <w:proofErr w:type="spellEnd"/>
      <w:r>
        <w:rPr>
          <w:rFonts w:ascii="Arial" w:hAnsi="Arial"/>
          <w:szCs w:val="18"/>
        </w:rPr>
        <w:t>) / Germany</w:t>
      </w:r>
      <w:r>
        <w:rPr>
          <w:rFonts w:ascii="Arial" w:hAnsi="Arial"/>
          <w:szCs w:val="18"/>
        </w:rPr>
        <w:br/>
        <w:t>www.liebherr.com</w:t>
      </w:r>
    </w:p>
    <w:p w14:paraId="0E5F99FE" w14:textId="77777777" w:rsidR="00B81ED6" w:rsidRPr="00C25CE2" w:rsidRDefault="00B81ED6" w:rsidP="00C435FC">
      <w:pPr>
        <w:pStyle w:val="Copyhead11Pt"/>
        <w:rPr>
          <w:rFonts w:ascii="Liebherr Text" w:hAnsi="Liebherr Text"/>
        </w:rPr>
      </w:pPr>
    </w:p>
    <w:sectPr w:rsidR="00B81ED6" w:rsidRPr="00C25CE2" w:rsidSect="007E02AB">
      <w:headerReference w:type="default" r:id="rId12"/>
      <w:footerReference w:type="default" r:id="rId13"/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1D2AA" w16cex:dateUtc="2021-12-01T09:53:00Z"/>
  <w16cex:commentExtensible w16cex:durableId="2551D4A4" w16cex:dateUtc="2021-12-01T10:01:00Z"/>
  <w16cex:commentExtensible w16cex:durableId="2551DCCF" w16cex:dateUtc="2021-12-01T10:36:00Z"/>
  <w16cex:commentExtensible w16cex:durableId="2551DBA1" w16cex:dateUtc="2021-12-01T10:31:00Z"/>
  <w16cex:commentExtensible w16cex:durableId="2551DD6C" w16cex:dateUtc="2021-12-01T1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040FD4" w16cid:durableId="2551D2AA"/>
  <w16cid:commentId w16cid:paraId="5EC87E54" w16cid:durableId="2551D4A4"/>
  <w16cid:commentId w16cid:paraId="17546DD3" w16cid:durableId="2551DCCF"/>
  <w16cid:commentId w16cid:paraId="7E5B8664" w16cid:durableId="2551DBA1"/>
  <w16cid:commentId w16cid:paraId="0EA35AB6" w16cid:durableId="2551DD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33A46" w14:textId="77777777" w:rsidR="000F40BA" w:rsidRDefault="000F40BA">
      <w:pPr>
        <w:spacing w:after="0" w:line="240" w:lineRule="auto"/>
      </w:pPr>
      <w:r>
        <w:separator/>
      </w:r>
    </w:p>
  </w:endnote>
  <w:endnote w:type="continuationSeparator" w:id="0">
    <w:p w14:paraId="68C37404" w14:textId="77777777" w:rsidR="000F40BA" w:rsidRDefault="000F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0000000000000000000"/>
    <w:charset w:val="86"/>
    <w:family w:val="roman"/>
    <w:notTrueType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ebherr Text">
    <w:altName w:val="Verdana"/>
    <w:panose1 w:val="00000000000000000000"/>
    <w:charset w:val="00"/>
    <w:family w:val="swiss"/>
    <w:notTrueType/>
    <w:pitch w:val="variable"/>
    <w:sig w:usb0="00000001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73243" w14:textId="4E302536" w:rsidR="00D56747" w:rsidRPr="00652E53" w:rsidRDefault="005B299E" w:rsidP="00652E53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5A482A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5A482A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5A482A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5A482A">
      <w:rPr>
        <w:rFonts w:ascii="Arial" w:hAnsi="Arial" w:cs="Arial"/>
      </w:rPr>
      <w:fldChar w:fldCharType="separate"/>
    </w:r>
    <w:r w:rsidR="005A482A">
      <w:rPr>
        <w:rFonts w:ascii="Arial" w:hAnsi="Arial" w:cs="Arial"/>
        <w:noProof/>
      </w:rPr>
      <w:t>2</w:t>
    </w:r>
    <w:r w:rsidR="005A482A" w:rsidRPr="0093605C">
      <w:rPr>
        <w:rFonts w:ascii="Arial" w:hAnsi="Arial" w:cs="Arial"/>
        <w:noProof/>
      </w:rPr>
      <w:t>/</w:t>
    </w:r>
    <w:r w:rsidR="005A482A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00DD8" w14:textId="77777777" w:rsidR="000F40BA" w:rsidRDefault="000F40BA">
      <w:pPr>
        <w:spacing w:after="0" w:line="240" w:lineRule="auto"/>
      </w:pPr>
      <w:r>
        <w:separator/>
      </w:r>
    </w:p>
  </w:footnote>
  <w:footnote w:type="continuationSeparator" w:id="0">
    <w:p w14:paraId="13B11317" w14:textId="77777777" w:rsidR="000F40BA" w:rsidRDefault="000F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75EF" w14:textId="77777777" w:rsidR="00B26461" w:rsidRDefault="00FA5502" w:rsidP="00B26461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1EFC22F4" wp14:editId="49D5A576">
          <wp:extent cx="2171065" cy="267335"/>
          <wp:effectExtent l="0" t="0" r="0" b="0"/>
          <wp:docPr id="1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7AFDD0" w14:textId="77777777" w:rsidR="00B26461" w:rsidRDefault="00B264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CD4C5C36">
      <w:numFmt w:val="bullet"/>
      <w:pStyle w:val="Bulletpoints11Pt1"/>
      <w:lvlText w:val="–"/>
      <w:lvlJc w:val="left"/>
      <w:pPr>
        <w:ind w:left="786" w:hanging="360"/>
      </w:pPr>
      <w:rPr>
        <w:rFonts w:ascii="Calibri" w:eastAsia="Calibri" w:hAnsi="Calibri" w:cs="Calibri" w:hint="default"/>
        <w:b/>
      </w:rPr>
    </w:lvl>
    <w:lvl w:ilvl="1" w:tplc="EB1044D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A068036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9A035C6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78E983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5B4EB4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B2CE063A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582DAB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CA6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28F0A29"/>
    <w:multiLevelType w:val="hybridMultilevel"/>
    <w:tmpl w:val="BD7603AE"/>
    <w:lvl w:ilvl="0" w:tplc="BE16DF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128AA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EA5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C6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A3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9C52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66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0B0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2A12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04B6E"/>
    <w:rsid w:val="000159EB"/>
    <w:rsid w:val="00033002"/>
    <w:rsid w:val="000336A3"/>
    <w:rsid w:val="00041B20"/>
    <w:rsid w:val="00051A79"/>
    <w:rsid w:val="0005793B"/>
    <w:rsid w:val="00066E54"/>
    <w:rsid w:val="00072EEF"/>
    <w:rsid w:val="00074010"/>
    <w:rsid w:val="000750BF"/>
    <w:rsid w:val="00090B72"/>
    <w:rsid w:val="00097688"/>
    <w:rsid w:val="000B01D0"/>
    <w:rsid w:val="000C25D5"/>
    <w:rsid w:val="000E3E31"/>
    <w:rsid w:val="000E4409"/>
    <w:rsid w:val="000F40BA"/>
    <w:rsid w:val="0010723E"/>
    <w:rsid w:val="0012321B"/>
    <w:rsid w:val="00134A15"/>
    <w:rsid w:val="001419B4"/>
    <w:rsid w:val="00145DB7"/>
    <w:rsid w:val="001626A2"/>
    <w:rsid w:val="00165FB4"/>
    <w:rsid w:val="00180AA2"/>
    <w:rsid w:val="00183EE4"/>
    <w:rsid w:val="001B2016"/>
    <w:rsid w:val="001C362A"/>
    <w:rsid w:val="001D1840"/>
    <w:rsid w:val="001D4B7D"/>
    <w:rsid w:val="001D7759"/>
    <w:rsid w:val="001E54E1"/>
    <w:rsid w:val="001E75E4"/>
    <w:rsid w:val="00204BF1"/>
    <w:rsid w:val="002068B3"/>
    <w:rsid w:val="00213C4C"/>
    <w:rsid w:val="00223041"/>
    <w:rsid w:val="002264BF"/>
    <w:rsid w:val="00226EEE"/>
    <w:rsid w:val="002273FA"/>
    <w:rsid w:val="00231577"/>
    <w:rsid w:val="00231942"/>
    <w:rsid w:val="0023588A"/>
    <w:rsid w:val="00251CE5"/>
    <w:rsid w:val="00251D8B"/>
    <w:rsid w:val="00254CB0"/>
    <w:rsid w:val="002729BF"/>
    <w:rsid w:val="002A6602"/>
    <w:rsid w:val="002A6A12"/>
    <w:rsid w:val="002D1A7C"/>
    <w:rsid w:val="002D3EC0"/>
    <w:rsid w:val="002F2BD0"/>
    <w:rsid w:val="0030044E"/>
    <w:rsid w:val="003039E2"/>
    <w:rsid w:val="0034000E"/>
    <w:rsid w:val="003422C2"/>
    <w:rsid w:val="00347C53"/>
    <w:rsid w:val="003524D2"/>
    <w:rsid w:val="003802AA"/>
    <w:rsid w:val="003826B4"/>
    <w:rsid w:val="0039798A"/>
    <w:rsid w:val="003A37FC"/>
    <w:rsid w:val="003B6705"/>
    <w:rsid w:val="003E3672"/>
    <w:rsid w:val="003E3910"/>
    <w:rsid w:val="003F0BED"/>
    <w:rsid w:val="00430005"/>
    <w:rsid w:val="00435F8D"/>
    <w:rsid w:val="004467CA"/>
    <w:rsid w:val="0045133C"/>
    <w:rsid w:val="00452D86"/>
    <w:rsid w:val="00485D70"/>
    <w:rsid w:val="00492B07"/>
    <w:rsid w:val="004D56D9"/>
    <w:rsid w:val="004F16CA"/>
    <w:rsid w:val="00504650"/>
    <w:rsid w:val="00513E02"/>
    <w:rsid w:val="00516AAA"/>
    <w:rsid w:val="00517371"/>
    <w:rsid w:val="00526EF8"/>
    <w:rsid w:val="0053214A"/>
    <w:rsid w:val="00536907"/>
    <w:rsid w:val="00542AD2"/>
    <w:rsid w:val="00556698"/>
    <w:rsid w:val="00565ABD"/>
    <w:rsid w:val="00571D2B"/>
    <w:rsid w:val="005824CD"/>
    <w:rsid w:val="00586262"/>
    <w:rsid w:val="00594394"/>
    <w:rsid w:val="005A482A"/>
    <w:rsid w:val="005B19C0"/>
    <w:rsid w:val="005B299E"/>
    <w:rsid w:val="006048EE"/>
    <w:rsid w:val="00606C84"/>
    <w:rsid w:val="00632DD2"/>
    <w:rsid w:val="006349E7"/>
    <w:rsid w:val="006368D0"/>
    <w:rsid w:val="00644EB1"/>
    <w:rsid w:val="00652E53"/>
    <w:rsid w:val="00660587"/>
    <w:rsid w:val="0066084F"/>
    <w:rsid w:val="0066668B"/>
    <w:rsid w:val="0067167C"/>
    <w:rsid w:val="00682250"/>
    <w:rsid w:val="006A349D"/>
    <w:rsid w:val="006B299B"/>
    <w:rsid w:val="006B44C7"/>
    <w:rsid w:val="006B7C27"/>
    <w:rsid w:val="006D5AC4"/>
    <w:rsid w:val="006E1F2A"/>
    <w:rsid w:val="006F202A"/>
    <w:rsid w:val="006F25C6"/>
    <w:rsid w:val="00730878"/>
    <w:rsid w:val="007430F1"/>
    <w:rsid w:val="00752BA1"/>
    <w:rsid w:val="00761700"/>
    <w:rsid w:val="00762872"/>
    <w:rsid w:val="0076548E"/>
    <w:rsid w:val="007738F5"/>
    <w:rsid w:val="00776B18"/>
    <w:rsid w:val="007A467C"/>
    <w:rsid w:val="007B1985"/>
    <w:rsid w:val="007C1EF4"/>
    <w:rsid w:val="007E02AB"/>
    <w:rsid w:val="007F2586"/>
    <w:rsid w:val="008040B6"/>
    <w:rsid w:val="00805D2A"/>
    <w:rsid w:val="00842283"/>
    <w:rsid w:val="008A3CB4"/>
    <w:rsid w:val="008A618D"/>
    <w:rsid w:val="008A72FF"/>
    <w:rsid w:val="008E4BA5"/>
    <w:rsid w:val="008E5ADD"/>
    <w:rsid w:val="009033EE"/>
    <w:rsid w:val="00914732"/>
    <w:rsid w:val="009169F9"/>
    <w:rsid w:val="00927A02"/>
    <w:rsid w:val="00930204"/>
    <w:rsid w:val="0093493F"/>
    <w:rsid w:val="0093605C"/>
    <w:rsid w:val="009461D3"/>
    <w:rsid w:val="009620F5"/>
    <w:rsid w:val="00965077"/>
    <w:rsid w:val="00965D27"/>
    <w:rsid w:val="00967816"/>
    <w:rsid w:val="009771E1"/>
    <w:rsid w:val="00991500"/>
    <w:rsid w:val="009A3D17"/>
    <w:rsid w:val="009B3E0D"/>
    <w:rsid w:val="009B407C"/>
    <w:rsid w:val="009B5365"/>
    <w:rsid w:val="009D7861"/>
    <w:rsid w:val="009F27A0"/>
    <w:rsid w:val="00A017B3"/>
    <w:rsid w:val="00A13B45"/>
    <w:rsid w:val="00A16B9E"/>
    <w:rsid w:val="00A26D14"/>
    <w:rsid w:val="00A32596"/>
    <w:rsid w:val="00A42463"/>
    <w:rsid w:val="00A463D2"/>
    <w:rsid w:val="00A46E69"/>
    <w:rsid w:val="00A521F8"/>
    <w:rsid w:val="00A57A95"/>
    <w:rsid w:val="00A60233"/>
    <w:rsid w:val="00A71B75"/>
    <w:rsid w:val="00AA0783"/>
    <w:rsid w:val="00AC2129"/>
    <w:rsid w:val="00AC4280"/>
    <w:rsid w:val="00AD1FE1"/>
    <w:rsid w:val="00AD5017"/>
    <w:rsid w:val="00AF1F99"/>
    <w:rsid w:val="00AF53E2"/>
    <w:rsid w:val="00B07FD1"/>
    <w:rsid w:val="00B10BB5"/>
    <w:rsid w:val="00B2620A"/>
    <w:rsid w:val="00B26461"/>
    <w:rsid w:val="00B57FCE"/>
    <w:rsid w:val="00B62CFE"/>
    <w:rsid w:val="00B77B69"/>
    <w:rsid w:val="00B81ED6"/>
    <w:rsid w:val="00B81F8C"/>
    <w:rsid w:val="00B943C0"/>
    <w:rsid w:val="00B9734D"/>
    <w:rsid w:val="00BA0D3B"/>
    <w:rsid w:val="00BA4387"/>
    <w:rsid w:val="00BB1E9D"/>
    <w:rsid w:val="00BC41EA"/>
    <w:rsid w:val="00BD5760"/>
    <w:rsid w:val="00BD7045"/>
    <w:rsid w:val="00BE5E25"/>
    <w:rsid w:val="00BE61FD"/>
    <w:rsid w:val="00C04CFC"/>
    <w:rsid w:val="00C06B98"/>
    <w:rsid w:val="00C15330"/>
    <w:rsid w:val="00C22199"/>
    <w:rsid w:val="00C22AA4"/>
    <w:rsid w:val="00C25CE2"/>
    <w:rsid w:val="00C435FC"/>
    <w:rsid w:val="00C5368C"/>
    <w:rsid w:val="00C71EA8"/>
    <w:rsid w:val="00C92B30"/>
    <w:rsid w:val="00CA2977"/>
    <w:rsid w:val="00CA3A07"/>
    <w:rsid w:val="00CB3E6F"/>
    <w:rsid w:val="00D15123"/>
    <w:rsid w:val="00D163EF"/>
    <w:rsid w:val="00D43505"/>
    <w:rsid w:val="00D478D3"/>
    <w:rsid w:val="00D51319"/>
    <w:rsid w:val="00D56747"/>
    <w:rsid w:val="00D617E0"/>
    <w:rsid w:val="00D81150"/>
    <w:rsid w:val="00D90FCD"/>
    <w:rsid w:val="00D954AD"/>
    <w:rsid w:val="00D978D7"/>
    <w:rsid w:val="00DC49A9"/>
    <w:rsid w:val="00DD5182"/>
    <w:rsid w:val="00DE6DFA"/>
    <w:rsid w:val="00DF14C0"/>
    <w:rsid w:val="00E029F3"/>
    <w:rsid w:val="00E160AD"/>
    <w:rsid w:val="00E256B6"/>
    <w:rsid w:val="00E2717F"/>
    <w:rsid w:val="00E33E16"/>
    <w:rsid w:val="00E47ABD"/>
    <w:rsid w:val="00E5276B"/>
    <w:rsid w:val="00E67099"/>
    <w:rsid w:val="00E754B8"/>
    <w:rsid w:val="00E837B3"/>
    <w:rsid w:val="00E91A4A"/>
    <w:rsid w:val="00E93F2D"/>
    <w:rsid w:val="00EA26F3"/>
    <w:rsid w:val="00EA2DAE"/>
    <w:rsid w:val="00EC7BF7"/>
    <w:rsid w:val="00EE296B"/>
    <w:rsid w:val="00EF07F7"/>
    <w:rsid w:val="00EF18EC"/>
    <w:rsid w:val="00EF1FA6"/>
    <w:rsid w:val="00EF4717"/>
    <w:rsid w:val="00F126CE"/>
    <w:rsid w:val="00F13B44"/>
    <w:rsid w:val="00F156AD"/>
    <w:rsid w:val="00F208D6"/>
    <w:rsid w:val="00F44C9E"/>
    <w:rsid w:val="00F50C2F"/>
    <w:rsid w:val="00F66D7C"/>
    <w:rsid w:val="00F70B5D"/>
    <w:rsid w:val="00F71F46"/>
    <w:rsid w:val="00F739D3"/>
    <w:rsid w:val="00F746E7"/>
    <w:rsid w:val="00F80271"/>
    <w:rsid w:val="00F92B76"/>
    <w:rsid w:val="00FA5502"/>
    <w:rsid w:val="00FB1F04"/>
    <w:rsid w:val="00FE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A061B7"/>
  <w15:chartTrackingRefBased/>
  <w15:docId w15:val="{B55FAA5E-E3A0-467B-9FFD-0F72C15F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after="160" w:line="259" w:lineRule="auto"/>
    </w:pPr>
    <w:rPr>
      <w:sz w:val="22"/>
      <w:szCs w:val="22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rsid w:val="0045133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B77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line="240" w:lineRule="atLeast"/>
      <w:jc w:val="right"/>
    </w:pPr>
    <w:rPr>
      <w:rFonts w:eastAsia="Calibr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="DengXian Light" w:hAnsi="Arial"/>
      <w:b/>
      <w:sz w:val="66"/>
      <w:szCs w:val="32"/>
      <w:lang w:eastAsia="en-US"/>
    </w:rPr>
  </w:style>
  <w:style w:type="character" w:customStyle="1" w:styleId="HeadlineH233PtZchn">
    <w:name w:val="Headline H2 33Pt Zchn"/>
    <w:link w:val="HeadlineH233Pt"/>
    <w:rsid w:val="00B81ED6"/>
    <w:rPr>
      <w:rFonts w:ascii="Arial" w:eastAsia="DengXian Light" w:hAnsi="Arial" w:cs="Times New Roman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rPr>
      <w:rFonts w:ascii="Arial" w:eastAsia="Calibri" w:hAnsi="Arial"/>
      <w:sz w:val="33"/>
      <w:szCs w:val="33"/>
      <w:lang w:eastAsia="en-US"/>
    </w:rPr>
  </w:style>
  <w:style w:type="character" w:customStyle="1" w:styleId="Topline16PtZchn">
    <w:name w:val="Topline 16Pt Zchn"/>
    <w:link w:val="Topline16Pt"/>
    <w:rsid w:val="00B81ED6"/>
    <w:rPr>
      <w:rFonts w:ascii="Arial" w:eastAsia="Calibri" w:hAnsi="Arial"/>
      <w:sz w:val="33"/>
      <w:szCs w:val="33"/>
      <w:lang w:val="en-GB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="DengXian Light" w:hAnsi="Arial"/>
      <w:b/>
      <w:kern w:val="12"/>
      <w:sz w:val="66"/>
      <w:szCs w:val="56"/>
      <w:lang w:eastAsia="en-US"/>
    </w:rPr>
  </w:style>
  <w:style w:type="character" w:customStyle="1" w:styleId="TitelZchn">
    <w:name w:val="Titel Zchn"/>
    <w:aliases w:val="Headline H2 33Pt. Zchn"/>
    <w:link w:val="Titel"/>
    <w:uiPriority w:val="10"/>
    <w:rsid w:val="00B81ED6"/>
    <w:rPr>
      <w:rFonts w:ascii="Arial" w:eastAsia="DengXian Light" w:hAnsi="Arial" w:cs="Times New Roman"/>
      <w:b/>
      <w:kern w:val="12"/>
      <w:sz w:val="66"/>
      <w:szCs w:val="56"/>
      <w:lang w:val="en-GB" w:eastAsia="en-US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="Calibr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="Calibr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link w:val="Copyhead11Pt"/>
    <w:rsid w:val="00B81ED6"/>
    <w:rPr>
      <w:rFonts w:ascii="Arial" w:eastAsia="Times New Roman" w:hAnsi="Arial" w:cs="Times New Roman"/>
      <w:b/>
      <w:szCs w:val="18"/>
      <w:lang w:val="en-GB" w:eastAsia="de-DE"/>
    </w:rPr>
  </w:style>
  <w:style w:type="character" w:customStyle="1" w:styleId="Copytext11PtZchn">
    <w:name w:val="Copytext 11Pt Zchn"/>
    <w:link w:val="Copytext11Pt"/>
    <w:rsid w:val="00B81ED6"/>
    <w:rPr>
      <w:rFonts w:ascii="Arial" w:eastAsia="Times New Roman" w:hAnsi="Arial" w:cs="Times New Roman"/>
      <w:szCs w:val="18"/>
      <w:lang w:val="en-GB" w:eastAsia="de-DE"/>
    </w:rPr>
  </w:style>
  <w:style w:type="character" w:customStyle="1" w:styleId="Teaser11PtZchn">
    <w:name w:val="Teaser 11Pt Zchn"/>
    <w:link w:val="Teaser11Pt"/>
    <w:rsid w:val="00B81ED6"/>
    <w:rPr>
      <w:rFonts w:ascii="Arial" w:hAnsi="Arial"/>
      <w:b/>
      <w:noProof/>
      <w:lang w:val="en-GB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link w:val="Bulletpoints11Pt"/>
    <w:rsid w:val="00B81ED6"/>
    <w:rPr>
      <w:rFonts w:ascii="Arial" w:eastAsia="Calibri" w:hAnsi="Arial" w:cs="Arial"/>
      <w:b/>
      <w:lang w:val="en-GB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/>
      <w:b/>
      <w:sz w:val="18"/>
      <w:szCs w:val="18"/>
    </w:rPr>
  </w:style>
  <w:style w:type="character" w:customStyle="1" w:styleId="BoilerplateCopyhead9PtZchn">
    <w:name w:val="Boilerplate Copyhead 9Pt Zchn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GB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/>
      <w:sz w:val="18"/>
      <w:szCs w:val="18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="Calibr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link w:val="BoilerplateCopytext9Pt"/>
    <w:rsid w:val="00B81ED6"/>
    <w:rPr>
      <w:rFonts w:ascii="Arial" w:eastAsia="Times New Roman" w:hAnsi="Arial" w:cs="Times New Roman"/>
      <w:sz w:val="18"/>
      <w:szCs w:val="18"/>
      <w:lang w:val="en-GB" w:eastAsia="de-DE"/>
    </w:rPr>
  </w:style>
  <w:style w:type="character" w:customStyle="1" w:styleId="Caption9PtZchn">
    <w:name w:val="Caption 9Pt Zchn"/>
    <w:link w:val="Caption9Pt"/>
    <w:rsid w:val="00B81ED6"/>
    <w:rPr>
      <w:rFonts w:ascii="Arial" w:eastAsia="Calibr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rPr>
      <w:rFonts w:ascii="CG Times (WN)" w:eastAsia="Times New Roma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rPr>
      <w:rFonts w:ascii="Arial" w:hAnsi="Arial"/>
      <w:b/>
      <w:sz w:val="12"/>
      <w:szCs w:val="18"/>
    </w:rPr>
  </w:style>
  <w:style w:type="character" w:styleId="Hyperlink">
    <w:name w:val="Hyperlink"/>
    <w:unhideWhenUsed/>
    <w:rsid w:val="00B81ED6"/>
    <w:rPr>
      <w:color w:val="0563C1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="Calibri"/>
      <w:kern w:val="12"/>
      <w:sz w:val="18"/>
      <w:szCs w:val="18"/>
      <w:lang w:eastAsia="en-US"/>
    </w:rPr>
  </w:style>
  <w:style w:type="paragraph" w:customStyle="1" w:styleId="Press8-Information">
    <w:name w:val="Press 8 - Information"/>
    <w:rsid w:val="00C06B98"/>
    <w:pPr>
      <w:pBdr>
        <w:top w:val="nil"/>
        <w:left w:val="nil"/>
        <w:bottom w:val="nil"/>
        <w:right w:val="nil"/>
        <w:between w:val="nil"/>
      </w:pBdr>
      <w:suppressAutoHyphens/>
      <w:spacing w:line="360" w:lineRule="auto"/>
      <w:jc w:val="both"/>
    </w:pPr>
    <w:rPr>
      <w:rFonts w:ascii="Arial" w:eastAsia="Arial" w:hAnsi="Arial" w:cs="Arial"/>
      <w:color w:val="000000"/>
      <w:sz w:val="22"/>
      <w:szCs w:val="22"/>
      <w:u w:color="000000"/>
      <w:bdr w:val="nil"/>
      <w:lang w:eastAsia="es-ES"/>
    </w:rPr>
  </w:style>
  <w:style w:type="paragraph" w:customStyle="1" w:styleId="LHbase-type11ptregular">
    <w:name w:val="LH_base-type 11pt regular"/>
    <w:qFormat/>
    <w:rsid w:val="009B407C"/>
    <w:pPr>
      <w:tabs>
        <w:tab w:val="left" w:pos="1247"/>
        <w:tab w:val="left" w:pos="2892"/>
        <w:tab w:val="left" w:pos="4366"/>
        <w:tab w:val="left" w:pos="6804"/>
      </w:tabs>
      <w:spacing w:line="360" w:lineRule="auto"/>
      <w:outlineLvl w:val="0"/>
    </w:pPr>
    <w:rPr>
      <w:rFonts w:ascii="Arial" w:eastAsia="Times New Roman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71EA8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link w:val="berschrift3"/>
    <w:uiPriority w:val="9"/>
    <w:rsid w:val="00B77B6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erschrift1Zchn">
    <w:name w:val="Überschrift 1 Zchn"/>
    <w:link w:val="berschrift1"/>
    <w:uiPriority w:val="9"/>
    <w:rsid w:val="0045133C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04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04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044E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04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044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6EDA9-D76E-47F9-AB79-0825E83C94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AA5A53-71A9-496E-8173-4801B14B8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F15E2-7D1F-42EE-8D8D-2248F7E3B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737A7D-8399-498F-A5F8-5AFCE680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5259</Characters>
  <Application>Microsoft Office Word</Application>
  <DocSecurity>0</DocSecurity>
  <Lines>89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Liebherr LB24-270 trabaja en las obras de ampliación y enlace de las autopistas A-67 con la A-8, en Santander</vt:lpstr>
      <vt:lpstr>Liebherr LB24-270 trabaja en las obras de ampliación y enlace de las autopistas A-67 con la A-8, en Santander</vt:lpstr>
    </vt:vector>
  </TitlesOfParts>
  <Company>Liebherr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Liebherr LB24-270 trabaja en las obras de ampliación y enlace de las autopistas A-67 con la A-8, en Santander</dc:title>
  <dc:subject/>
  <dc:creator>Goetz Manuel (LHO)</dc:creator>
  <cp:keywords/>
  <cp:lastModifiedBy>Merker Anja (LHO)</cp:lastModifiedBy>
  <cp:revision>3</cp:revision>
  <cp:lastPrinted>2021-12-01T09:49:00Z</cp:lastPrinted>
  <dcterms:created xsi:type="dcterms:W3CDTF">2021-12-03T08:59:00Z</dcterms:created>
  <dcterms:modified xsi:type="dcterms:W3CDTF">2021-12-06T06:49:00Z</dcterms:modified>
  <cp:category>Nota de prensa</cp:category>
</cp:coreProperties>
</file>