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198E" w14:textId="77777777" w:rsidR="008D70BE" w:rsidRPr="008F5137" w:rsidRDefault="008D70BE" w:rsidP="008D70BE">
      <w:pPr>
        <w:pStyle w:val="Topline16Pt"/>
        <w:spacing w:before="240"/>
      </w:pPr>
      <w:bookmarkStart w:id="0" w:name="_GoBack"/>
      <w:r w:rsidRPr="008F5137">
        <w:t>Nota de prensa</w:t>
      </w:r>
    </w:p>
    <w:bookmarkEnd w:id="0"/>
    <w:p w14:paraId="551A1D53" w14:textId="77777777" w:rsidR="00F654C7" w:rsidRPr="008F5137" w:rsidRDefault="00A94959" w:rsidP="008D70BE">
      <w:pPr>
        <w:pStyle w:val="HeadlineH233Pt"/>
      </w:pPr>
      <w:r w:rsidRPr="008F5137">
        <w:t>Supervisión digital de los rodamientos de gran diámetro</w:t>
      </w:r>
    </w:p>
    <w:p w14:paraId="65E3D097" w14:textId="77777777" w:rsidR="00B81ED6" w:rsidRPr="008F5137" w:rsidRDefault="00B81ED6" w:rsidP="00B81ED6">
      <w:pPr>
        <w:pStyle w:val="HeadlineH233Pt"/>
        <w:spacing w:before="240" w:after="240" w:line="140" w:lineRule="exact"/>
        <w:rPr>
          <w:rFonts w:ascii="Tahoma" w:hAnsi="Tahoma" w:cs="Tahoma"/>
        </w:rPr>
      </w:pPr>
      <w:r w:rsidRPr="008F5137">
        <w:rPr>
          <w:rFonts w:ascii="Tahoma" w:hAnsi="Tahoma"/>
        </w:rPr>
        <w:t>⸺</w:t>
      </w:r>
    </w:p>
    <w:p w14:paraId="6FC63015" w14:textId="48B1A59B" w:rsidR="00A94959" w:rsidRPr="008F5137" w:rsidRDefault="00A94959" w:rsidP="00A94959">
      <w:pPr>
        <w:pStyle w:val="Bulletpoints11Pt"/>
      </w:pPr>
      <w:r w:rsidRPr="008F5137">
        <w:t>Liebherr permite medir el desgaste de alta precisión a distancia.</w:t>
      </w:r>
    </w:p>
    <w:p w14:paraId="212F7FCE" w14:textId="77777777" w:rsidR="00A94959" w:rsidRPr="008F5137" w:rsidRDefault="00A94959" w:rsidP="00A94959">
      <w:pPr>
        <w:pStyle w:val="Bulletpoints11Pt"/>
      </w:pPr>
      <w:r w:rsidRPr="008F5137">
        <w:t>La nueva tecnología garantiza una mayor seguridad en la zona de peligro.</w:t>
      </w:r>
    </w:p>
    <w:p w14:paraId="3646C426" w14:textId="77777777" w:rsidR="00A94959" w:rsidRPr="008F5137" w:rsidRDefault="00A94959" w:rsidP="00E856F3">
      <w:pPr>
        <w:pStyle w:val="Bulletpoints11Pt"/>
      </w:pPr>
      <w:r w:rsidRPr="008F5137">
        <w:t>La supervisión del estado también está disponible para la medición de la lubricación y la temperatura.</w:t>
      </w:r>
    </w:p>
    <w:p w14:paraId="53DFB620" w14:textId="77777777" w:rsidR="00A94959" w:rsidRPr="008F5137" w:rsidRDefault="00A94959" w:rsidP="00A94959">
      <w:pPr>
        <w:pStyle w:val="Bulletpoints11Pt"/>
        <w:numPr>
          <w:ilvl w:val="0"/>
          <w:numId w:val="0"/>
        </w:numPr>
        <w:ind w:left="284"/>
      </w:pPr>
    </w:p>
    <w:p w14:paraId="485ADF0A" w14:textId="75373C49" w:rsidR="00A94959" w:rsidRPr="008F5137" w:rsidRDefault="00DA3D06" w:rsidP="00A94959">
      <w:pPr>
        <w:pStyle w:val="Copytext11Pt"/>
        <w:rPr>
          <w:b/>
        </w:rPr>
      </w:pPr>
      <w:proofErr w:type="spellStart"/>
      <w:r w:rsidRPr="008F5137">
        <w:rPr>
          <w:b/>
        </w:rPr>
        <w:t>Nussbaumen</w:t>
      </w:r>
      <w:proofErr w:type="spellEnd"/>
      <w:r w:rsidRPr="008F5137">
        <w:rPr>
          <w:b/>
        </w:rPr>
        <w:t xml:space="preserve"> (Suiza), 23 de febrero de 2022 – Con el sistema de supervisión del estado para rodamientos de gran diámetro, Liebherr ha creado un sistema de monitorización digital. El sistema de medición de desgaste integrado, supervisión de la holgura de los rodamientos (BCM), garantiza una supervisión remota óptima de los rodamientos de gran diámetro en varias aplicaciones, como equipos de minería y manejo de materiales o aplicaciones marítimas. El sistema BCM se puede utilizar para medir el desgaste de los rodamientos en las direcciones axial y radial, así como la tolerancia de inclinación. Dicho diagnóstico remoto garantiza flexibilidad en la medición, así como un menor tiempo de inactividad, menores costes de mantenimiento y, sobre todo, una mayor protección personal. </w:t>
      </w:r>
    </w:p>
    <w:p w14:paraId="612B4E4F" w14:textId="77777777" w:rsidR="00A94959" w:rsidRPr="008F5137" w:rsidRDefault="00A94959" w:rsidP="00A94959">
      <w:pPr>
        <w:pStyle w:val="BoilerplateCopyhead9Pt"/>
        <w:ind w:right="565"/>
        <w:rPr>
          <w:sz w:val="22"/>
        </w:rPr>
      </w:pPr>
      <w:r w:rsidRPr="008F5137">
        <w:rPr>
          <w:sz w:val="22"/>
        </w:rPr>
        <w:t xml:space="preserve">Más seguridad: No se necesita personal de servicio en la zona de peligro </w:t>
      </w:r>
    </w:p>
    <w:p w14:paraId="55681812" w14:textId="62323CD3" w:rsidR="00A94959" w:rsidRPr="008F5137" w:rsidRDefault="00A94959" w:rsidP="56AABC04">
      <w:pPr>
        <w:pStyle w:val="BoilerplateCopyhead9Pt"/>
        <w:spacing w:after="300" w:line="300" w:lineRule="exact"/>
        <w:ind w:right="567"/>
        <w:rPr>
          <w:b w:val="0"/>
          <w:sz w:val="22"/>
          <w:szCs w:val="22"/>
        </w:rPr>
      </w:pPr>
      <w:r w:rsidRPr="008F5137">
        <w:rPr>
          <w:b w:val="0"/>
          <w:sz w:val="22"/>
          <w:szCs w:val="22"/>
        </w:rPr>
        <w:t>El enfoque del mantenimiento de autorización digital radica en la seguridad del personal. "Una clara desventaja de todos los métodos comunes de medición del desgaste es la necesidad de que los técnicos de servicio monten calibradores, comparadores u otros dispositivos de medición directamente en el rodamiento de gran diámetro en la zona de peligro debajo de la excavadora u otras máquinas", explica Wolfram Halder, director de producto de la Unidad de negocio de rodamientos de gran diámetro. "El sistema BCM de Liebherr hace que esto sea innecesario, ya que los dispositivos de medición ya están instalados de forma permanente en el rodamiento". Otra ventaja es la flexibilidad en términos de tiempo. Actualmente, los operadores de máquinas encargan a proveedores de servicios externos la medición de la tolerancia de los rodamientos. Esto los hace depender de la experiencia y el horario de empresas externas. "Con el mantenimiento digital para rodamientos de gran diámetro de Liebherr, las mediciones se pueden realizar en cualquier momento fuera de la zona de peligro, sin tener que depender de proveedores de servicios externos", explica Wolfram Halder.</w:t>
      </w:r>
    </w:p>
    <w:p w14:paraId="15704F8C" w14:textId="77777777" w:rsidR="00A94959" w:rsidRPr="008F5137" w:rsidRDefault="00A94959" w:rsidP="00A94959">
      <w:pPr>
        <w:pStyle w:val="BoilerplateCopyhead9Pt"/>
        <w:ind w:right="565"/>
        <w:rPr>
          <w:sz w:val="22"/>
        </w:rPr>
      </w:pPr>
      <w:r w:rsidRPr="008F5137">
        <w:rPr>
          <w:sz w:val="22"/>
        </w:rPr>
        <w:t>Medición en pocos minutos: Así funciona el BCM de Liebherr</w:t>
      </w:r>
    </w:p>
    <w:p w14:paraId="10A85BA5" w14:textId="5F5EC1D9" w:rsidR="00A94959" w:rsidRPr="008F5137" w:rsidRDefault="00A94959" w:rsidP="00A94959">
      <w:pPr>
        <w:pStyle w:val="BoilerplateCopyhead9Pt"/>
        <w:spacing w:after="300" w:line="300" w:lineRule="exact"/>
        <w:ind w:right="567"/>
        <w:rPr>
          <w:b w:val="0"/>
          <w:sz w:val="22"/>
        </w:rPr>
      </w:pPr>
      <w:r w:rsidRPr="008F5137">
        <w:rPr>
          <w:b w:val="0"/>
          <w:sz w:val="22"/>
        </w:rPr>
        <w:t xml:space="preserve">¿Cómo funciona? La tecnología adecuada y la conexión correcta lo hacen posible. La caja de conexión del sensor recibe los datos de los sensores conectados al rodamiento de gran diámetro y suministra energía a todo el sistema BCM. La puerta de enlace almacena los datos del sensor y </w:t>
      </w:r>
      <w:r w:rsidRPr="008F5137">
        <w:rPr>
          <w:b w:val="0"/>
          <w:sz w:val="22"/>
        </w:rPr>
        <w:lastRenderedPageBreak/>
        <w:t>las actualizaciones para el BCM. Esto permite utilizar el sistema incluso de forma autónoma en regiones sin conexión de datos. Este es el caso de las minas, por ejemplo, que muchas veces no cuentan con la recepción móvil necesaria. Una conexión directa a través de Bluetooth hace posible el proceso de medición desde una distancia segura y sin conexión a la red. Inteligente, integrado y remoto, el sistema BCM es un pequeño ayudante con grandes efectos.</w:t>
      </w:r>
    </w:p>
    <w:p w14:paraId="25D07BBF" w14:textId="37EE0C8E" w:rsidR="00DA3D06" w:rsidRPr="008F5137" w:rsidRDefault="003E1C44" w:rsidP="00A94959">
      <w:pPr>
        <w:pStyle w:val="BoilerplateCopyhead9Pt"/>
        <w:ind w:right="565"/>
      </w:pPr>
      <w:r w:rsidRPr="008F5137">
        <w:t>Acerca de Liebherr-</w:t>
      </w:r>
      <w:proofErr w:type="spellStart"/>
      <w:r w:rsidRPr="008F5137">
        <w:t>Components</w:t>
      </w:r>
      <w:proofErr w:type="spellEnd"/>
    </w:p>
    <w:p w14:paraId="4A2807B5" w14:textId="77777777" w:rsidR="00DA3D06" w:rsidRPr="008F5137" w:rsidRDefault="00DA3D06" w:rsidP="00DA3D06">
      <w:pPr>
        <w:pStyle w:val="BoilerplateCopyhead9Pt"/>
        <w:ind w:right="565"/>
        <w:rPr>
          <w:b w:val="0"/>
        </w:rPr>
      </w:pPr>
      <w:r w:rsidRPr="008F5137">
        <w:rPr>
          <w:b w:val="0"/>
        </w:rPr>
        <w:t>Este segmento de productos del grupo Liebherr se especializa en el desarrollo, el diseño, la fabricación y el reacondicionamiento de componentes de alto rendimiento en el ámbito de la técnica de control y de accionamiento eléctrico, mecánico e hidráulico. Liebherr-</w:t>
      </w:r>
      <w:proofErr w:type="spellStart"/>
      <w:r w:rsidRPr="008F5137">
        <w:rPr>
          <w:b w:val="0"/>
        </w:rPr>
        <w:t>Component</w:t>
      </w:r>
      <w:proofErr w:type="spellEnd"/>
      <w:r w:rsidRPr="008F5137">
        <w:rPr>
          <w:b w:val="0"/>
        </w:rPr>
        <w:t xml:space="preserve"> Technologies AG, con sede en Bulle (Suiza), se ocupa de la coordinación de todas las actividades del segmento de productos Componentes.</w:t>
      </w:r>
    </w:p>
    <w:p w14:paraId="7CBC82DE" w14:textId="4C4D9E04" w:rsidR="00DA3D06" w:rsidRPr="008F5137" w:rsidRDefault="00DA3D06" w:rsidP="00DA3D06">
      <w:pPr>
        <w:pStyle w:val="BoilerplateCopytext9Pt"/>
        <w:ind w:right="565"/>
      </w:pPr>
      <w:r w:rsidRPr="008F5137">
        <w:t xml:space="preserve">Su amplia gama de productos incluye motores de </w:t>
      </w:r>
      <w:r w:rsidR="008F5137" w:rsidRPr="008F5137">
        <w:t>combustión</w:t>
      </w:r>
      <w:r w:rsidRPr="008F5137">
        <w:t>, sistemas de inyección, unidades de control del motor, motores y bombas de pistón axial, cilindros hidráulicos, rodamientos de gran diámetro, transmisiones y cabrestantes, equipos de conmutación, componentes de electrónica y de electrónica de potencia y software. Estos componentes de gran calidad se utilizan en grúas y maquinaria de movimiento de tierras, en la industria minera, en aplicaciones marítimas, aerogeneradores, tecnología de automoción y tecnología de transporte y aeroespacial. Las sinergias de los demás segmentos de productos del grupo Liebherr se utilizan para impulsar el desarrollo tecnológico continuo.</w:t>
      </w:r>
    </w:p>
    <w:p w14:paraId="0DAB3D06" w14:textId="77777777" w:rsidR="00E15E21" w:rsidRPr="00851FE6" w:rsidRDefault="00E15E21" w:rsidP="00E15E21">
      <w:pPr>
        <w:pStyle w:val="BoilerplateCopyhead9Pt"/>
      </w:pPr>
      <w:r w:rsidRPr="00851FE6">
        <w:t>Acerca del Grupo Liebherr</w:t>
      </w:r>
    </w:p>
    <w:p w14:paraId="282CC789" w14:textId="7D50CE0B" w:rsidR="00E15E21" w:rsidRPr="00E15E21" w:rsidRDefault="00E15E21" w:rsidP="00E15E21">
      <w:pPr>
        <w:pStyle w:val="BoilerplateCopyhead9Pt"/>
        <w:ind w:right="565"/>
        <w:rPr>
          <w:b w:val="0"/>
        </w:rPr>
      </w:pPr>
      <w:r w:rsidRPr="00E15E21">
        <w:rPr>
          <w:b w:val="0"/>
        </w:rPr>
        <w:t xml:space="preserve">El </w:t>
      </w:r>
      <w:proofErr w:type="spellStart"/>
      <w:r w:rsidRPr="00E15E21">
        <w:rPr>
          <w:b w:val="0"/>
        </w:rPr>
        <w:t>Grupo</w:t>
      </w:r>
      <w:proofErr w:type="spellEnd"/>
      <w:r w:rsidRPr="00E15E21">
        <w:rPr>
          <w:b w:val="0"/>
        </w:rPr>
        <w:t xml:space="preserve"> Liebherr es una </w:t>
      </w:r>
      <w:proofErr w:type="spellStart"/>
      <w:r w:rsidRPr="00E15E21">
        <w:rPr>
          <w:b w:val="0"/>
        </w:rPr>
        <w:t>empresa</w:t>
      </w:r>
      <w:proofErr w:type="spellEnd"/>
      <w:r w:rsidRPr="00E15E21">
        <w:rPr>
          <w:b w:val="0"/>
        </w:rPr>
        <w:t xml:space="preserve"> </w:t>
      </w:r>
      <w:proofErr w:type="spellStart"/>
      <w:r w:rsidRPr="00E15E21">
        <w:rPr>
          <w:b w:val="0"/>
        </w:rPr>
        <w:t>familiar</w:t>
      </w:r>
      <w:proofErr w:type="spellEnd"/>
      <w:r w:rsidRPr="00E15E21">
        <w:rPr>
          <w:b w:val="0"/>
        </w:rPr>
        <w:t xml:space="preserve"> de </w:t>
      </w:r>
      <w:proofErr w:type="spellStart"/>
      <w:r w:rsidRPr="00E15E21">
        <w:rPr>
          <w:b w:val="0"/>
        </w:rPr>
        <w:t>tecnología</w:t>
      </w:r>
      <w:proofErr w:type="spellEnd"/>
      <w:r w:rsidRPr="00E15E21">
        <w:rPr>
          <w:b w:val="0"/>
        </w:rPr>
        <w:t xml:space="preserve"> con una </w:t>
      </w:r>
      <w:proofErr w:type="spellStart"/>
      <w:r w:rsidRPr="00E15E21">
        <w:rPr>
          <w:b w:val="0"/>
        </w:rPr>
        <w:t>gama</w:t>
      </w:r>
      <w:proofErr w:type="spellEnd"/>
      <w:r w:rsidRPr="00E15E21">
        <w:rPr>
          <w:b w:val="0"/>
        </w:rPr>
        <w:t xml:space="preserve"> de </w:t>
      </w:r>
      <w:proofErr w:type="spellStart"/>
      <w:r w:rsidRPr="00E15E21">
        <w:rPr>
          <w:b w:val="0"/>
        </w:rPr>
        <w:t>productos</w:t>
      </w:r>
      <w:proofErr w:type="spellEnd"/>
      <w:r w:rsidRPr="00E15E21">
        <w:rPr>
          <w:b w:val="0"/>
        </w:rPr>
        <w:t xml:space="preserve"> </w:t>
      </w:r>
      <w:proofErr w:type="spellStart"/>
      <w:r w:rsidRPr="00E15E21">
        <w:rPr>
          <w:b w:val="0"/>
        </w:rPr>
        <w:t>muy</w:t>
      </w:r>
      <w:proofErr w:type="spellEnd"/>
      <w:r w:rsidRPr="00E15E21">
        <w:rPr>
          <w:b w:val="0"/>
        </w:rPr>
        <w:t xml:space="preserve"> diversa. Se </w:t>
      </w:r>
      <w:proofErr w:type="spellStart"/>
      <w:r w:rsidRPr="00E15E21">
        <w:rPr>
          <w:b w:val="0"/>
        </w:rPr>
        <w:t>trata</w:t>
      </w:r>
      <w:proofErr w:type="spellEnd"/>
      <w:r w:rsidRPr="00E15E21">
        <w:rPr>
          <w:b w:val="0"/>
        </w:rPr>
        <w:t xml:space="preserve"> de </w:t>
      </w:r>
      <w:proofErr w:type="spellStart"/>
      <w:r w:rsidRPr="00E15E21">
        <w:rPr>
          <w:b w:val="0"/>
        </w:rPr>
        <w:t>uno</w:t>
      </w:r>
      <w:proofErr w:type="spellEnd"/>
      <w:r w:rsidRPr="00E15E21">
        <w:rPr>
          <w:b w:val="0"/>
        </w:rPr>
        <w:t xml:space="preserve"> de los </w:t>
      </w:r>
      <w:proofErr w:type="spellStart"/>
      <w:r w:rsidRPr="00E15E21">
        <w:rPr>
          <w:b w:val="0"/>
        </w:rPr>
        <w:t>líderes</w:t>
      </w:r>
      <w:proofErr w:type="spellEnd"/>
      <w:r w:rsidRPr="00E15E21">
        <w:rPr>
          <w:b w:val="0"/>
        </w:rPr>
        <w:t xml:space="preserve"> </w:t>
      </w:r>
      <w:proofErr w:type="spellStart"/>
      <w:r w:rsidRPr="00E15E21">
        <w:rPr>
          <w:b w:val="0"/>
        </w:rPr>
        <w:t>mundiales</w:t>
      </w:r>
      <w:proofErr w:type="spellEnd"/>
      <w:r w:rsidRPr="00E15E21">
        <w:rPr>
          <w:b w:val="0"/>
        </w:rPr>
        <w:t xml:space="preserve"> en la </w:t>
      </w:r>
      <w:proofErr w:type="spellStart"/>
      <w:r w:rsidRPr="00E15E21">
        <w:rPr>
          <w:b w:val="0"/>
        </w:rPr>
        <w:t>fabricación</w:t>
      </w:r>
      <w:proofErr w:type="spellEnd"/>
      <w:r w:rsidRPr="00E15E21">
        <w:rPr>
          <w:b w:val="0"/>
        </w:rPr>
        <w:t xml:space="preserve"> de </w:t>
      </w:r>
      <w:proofErr w:type="spellStart"/>
      <w:r w:rsidRPr="00E15E21">
        <w:rPr>
          <w:b w:val="0"/>
        </w:rPr>
        <w:t>máquinas</w:t>
      </w:r>
      <w:proofErr w:type="spellEnd"/>
      <w:r w:rsidRPr="00E15E21">
        <w:rPr>
          <w:b w:val="0"/>
        </w:rPr>
        <w:t xml:space="preserve"> de </w:t>
      </w:r>
      <w:proofErr w:type="spellStart"/>
      <w:r w:rsidRPr="00E15E21">
        <w:rPr>
          <w:b w:val="0"/>
        </w:rPr>
        <w:t>construcción</w:t>
      </w:r>
      <w:proofErr w:type="spellEnd"/>
      <w:r w:rsidRPr="00E15E21">
        <w:rPr>
          <w:b w:val="0"/>
        </w:rPr>
        <w:t xml:space="preserve">. </w:t>
      </w:r>
      <w:proofErr w:type="spellStart"/>
      <w:r w:rsidRPr="00E15E21">
        <w:rPr>
          <w:b w:val="0"/>
        </w:rPr>
        <w:t>También</w:t>
      </w:r>
      <w:proofErr w:type="spellEnd"/>
      <w:r w:rsidRPr="00E15E21">
        <w:rPr>
          <w:b w:val="0"/>
        </w:rPr>
        <w:t xml:space="preserve"> </w:t>
      </w:r>
      <w:proofErr w:type="spellStart"/>
      <w:r w:rsidRPr="00E15E21">
        <w:rPr>
          <w:b w:val="0"/>
        </w:rPr>
        <w:t>ofrece</w:t>
      </w:r>
      <w:proofErr w:type="spellEnd"/>
      <w:r w:rsidRPr="00E15E21">
        <w:rPr>
          <w:b w:val="0"/>
        </w:rPr>
        <w:t xml:space="preserve"> </w:t>
      </w:r>
      <w:proofErr w:type="spellStart"/>
      <w:r w:rsidRPr="00E15E21">
        <w:rPr>
          <w:b w:val="0"/>
        </w:rPr>
        <w:t>productos</w:t>
      </w:r>
      <w:proofErr w:type="spellEnd"/>
      <w:r w:rsidRPr="00E15E21">
        <w:rPr>
          <w:b w:val="0"/>
        </w:rPr>
        <w:t xml:space="preserve"> y </w:t>
      </w:r>
      <w:proofErr w:type="spellStart"/>
      <w:r w:rsidRPr="00E15E21">
        <w:rPr>
          <w:b w:val="0"/>
        </w:rPr>
        <w:t>servicios</w:t>
      </w:r>
      <w:proofErr w:type="spellEnd"/>
      <w:r w:rsidRPr="00E15E21">
        <w:rPr>
          <w:b w:val="0"/>
        </w:rPr>
        <w:t xml:space="preserve"> de </w:t>
      </w:r>
      <w:proofErr w:type="spellStart"/>
      <w:r w:rsidRPr="00E15E21">
        <w:rPr>
          <w:b w:val="0"/>
        </w:rPr>
        <w:t>gran</w:t>
      </w:r>
      <w:proofErr w:type="spellEnd"/>
      <w:r w:rsidRPr="00E15E21">
        <w:rPr>
          <w:b w:val="0"/>
        </w:rPr>
        <w:t xml:space="preserve"> </w:t>
      </w:r>
      <w:proofErr w:type="spellStart"/>
      <w:r w:rsidRPr="00E15E21">
        <w:rPr>
          <w:b w:val="0"/>
        </w:rPr>
        <w:t>calidad</w:t>
      </w:r>
      <w:proofErr w:type="spellEnd"/>
      <w:r w:rsidRPr="00E15E21">
        <w:rPr>
          <w:b w:val="0"/>
        </w:rPr>
        <w:t xml:space="preserve"> y </w:t>
      </w:r>
      <w:proofErr w:type="spellStart"/>
      <w:r w:rsidRPr="00E15E21">
        <w:rPr>
          <w:b w:val="0"/>
        </w:rPr>
        <w:t>orientados</w:t>
      </w:r>
      <w:proofErr w:type="spellEnd"/>
      <w:r w:rsidRPr="00E15E21">
        <w:rPr>
          <w:b w:val="0"/>
        </w:rPr>
        <w:t xml:space="preserve"> al </w:t>
      </w:r>
      <w:proofErr w:type="spellStart"/>
      <w:r w:rsidRPr="00E15E21">
        <w:rPr>
          <w:b w:val="0"/>
        </w:rPr>
        <w:t>uso</w:t>
      </w:r>
      <w:proofErr w:type="spellEnd"/>
      <w:r w:rsidRPr="00E15E21">
        <w:rPr>
          <w:b w:val="0"/>
        </w:rPr>
        <w:t xml:space="preserve"> </w:t>
      </w:r>
      <w:proofErr w:type="spellStart"/>
      <w:r w:rsidRPr="00E15E21">
        <w:rPr>
          <w:b w:val="0"/>
        </w:rPr>
        <w:t>pertenecientes</w:t>
      </w:r>
      <w:proofErr w:type="spellEnd"/>
      <w:r w:rsidRPr="00E15E21">
        <w:rPr>
          <w:b w:val="0"/>
        </w:rPr>
        <w:t xml:space="preserve"> a </w:t>
      </w:r>
      <w:proofErr w:type="spellStart"/>
      <w:r w:rsidRPr="00E15E21">
        <w:rPr>
          <w:b w:val="0"/>
        </w:rPr>
        <w:t>muchos</w:t>
      </w:r>
      <w:proofErr w:type="spellEnd"/>
      <w:r w:rsidRPr="00E15E21">
        <w:rPr>
          <w:b w:val="0"/>
        </w:rPr>
        <w:t xml:space="preserve"> </w:t>
      </w:r>
      <w:proofErr w:type="spellStart"/>
      <w:r w:rsidRPr="00E15E21">
        <w:rPr>
          <w:b w:val="0"/>
        </w:rPr>
        <w:t>otros</w:t>
      </w:r>
      <w:proofErr w:type="spellEnd"/>
      <w:r w:rsidRPr="00E15E21">
        <w:rPr>
          <w:b w:val="0"/>
        </w:rPr>
        <w:t xml:space="preserve"> </w:t>
      </w:r>
      <w:proofErr w:type="spellStart"/>
      <w:r w:rsidRPr="00E15E21">
        <w:rPr>
          <w:b w:val="0"/>
        </w:rPr>
        <w:t>sectores</w:t>
      </w:r>
      <w:proofErr w:type="spellEnd"/>
      <w:r w:rsidRPr="00E15E21">
        <w:rPr>
          <w:b w:val="0"/>
        </w:rPr>
        <w:t xml:space="preserve">. </w:t>
      </w:r>
      <w:proofErr w:type="spellStart"/>
      <w:r w:rsidRPr="00E15E21">
        <w:rPr>
          <w:b w:val="0"/>
        </w:rPr>
        <w:t>Actualmente</w:t>
      </w:r>
      <w:proofErr w:type="spellEnd"/>
      <w:r w:rsidRPr="00E15E21">
        <w:rPr>
          <w:b w:val="0"/>
        </w:rPr>
        <w:t xml:space="preserve">, el Grupo </w:t>
      </w:r>
      <w:proofErr w:type="spellStart"/>
      <w:r w:rsidRPr="00E15E21">
        <w:rPr>
          <w:b w:val="0"/>
        </w:rPr>
        <w:t>cuenta</w:t>
      </w:r>
      <w:proofErr w:type="spellEnd"/>
      <w:r w:rsidRPr="00E15E21">
        <w:rPr>
          <w:b w:val="0"/>
        </w:rPr>
        <w:t xml:space="preserve"> con </w:t>
      </w:r>
      <w:proofErr w:type="spellStart"/>
      <w:r w:rsidRPr="00E15E21">
        <w:rPr>
          <w:b w:val="0"/>
        </w:rPr>
        <w:t>más</w:t>
      </w:r>
      <w:proofErr w:type="spellEnd"/>
      <w:r w:rsidRPr="00E15E21">
        <w:rPr>
          <w:b w:val="0"/>
        </w:rPr>
        <w:t xml:space="preserve"> de 140 filiales en </w:t>
      </w:r>
      <w:proofErr w:type="spellStart"/>
      <w:r w:rsidRPr="00E15E21">
        <w:rPr>
          <w:b w:val="0"/>
        </w:rPr>
        <w:t>todos</w:t>
      </w:r>
      <w:proofErr w:type="spellEnd"/>
      <w:r w:rsidRPr="00E15E21">
        <w:rPr>
          <w:b w:val="0"/>
        </w:rPr>
        <w:t xml:space="preserve"> los continentes. En 2021, el Grupo </w:t>
      </w:r>
      <w:proofErr w:type="spellStart"/>
      <w:r w:rsidRPr="00E15E21">
        <w:rPr>
          <w:b w:val="0"/>
        </w:rPr>
        <w:t>tuvo</w:t>
      </w:r>
      <w:proofErr w:type="spellEnd"/>
      <w:r w:rsidRPr="00E15E21">
        <w:rPr>
          <w:b w:val="0"/>
        </w:rPr>
        <w:t xml:space="preserve"> </w:t>
      </w:r>
      <w:proofErr w:type="spellStart"/>
      <w:r w:rsidRPr="00E15E21">
        <w:rPr>
          <w:b w:val="0"/>
        </w:rPr>
        <w:t>una</w:t>
      </w:r>
      <w:proofErr w:type="spellEnd"/>
      <w:r w:rsidRPr="00E15E21">
        <w:rPr>
          <w:b w:val="0"/>
        </w:rPr>
        <w:t xml:space="preserve"> </w:t>
      </w:r>
      <w:proofErr w:type="spellStart"/>
      <w:r w:rsidRPr="00E15E21">
        <w:rPr>
          <w:b w:val="0"/>
        </w:rPr>
        <w:t>plantilla</w:t>
      </w:r>
      <w:proofErr w:type="spellEnd"/>
      <w:r w:rsidRPr="00E15E21">
        <w:rPr>
          <w:b w:val="0"/>
        </w:rPr>
        <w:t xml:space="preserve"> de </w:t>
      </w:r>
      <w:proofErr w:type="spellStart"/>
      <w:r w:rsidRPr="00E15E21">
        <w:rPr>
          <w:b w:val="0"/>
        </w:rPr>
        <w:t>más</w:t>
      </w:r>
      <w:proofErr w:type="spellEnd"/>
      <w:r w:rsidRPr="00E15E21">
        <w:rPr>
          <w:b w:val="0"/>
        </w:rPr>
        <w:t xml:space="preserve"> de 49.000 </w:t>
      </w:r>
      <w:proofErr w:type="spellStart"/>
      <w:r w:rsidRPr="00E15E21">
        <w:rPr>
          <w:b w:val="0"/>
        </w:rPr>
        <w:t>personas</w:t>
      </w:r>
      <w:proofErr w:type="spellEnd"/>
      <w:r w:rsidRPr="00E15E21">
        <w:rPr>
          <w:b w:val="0"/>
        </w:rPr>
        <w:t xml:space="preserve"> y </w:t>
      </w:r>
      <w:proofErr w:type="spellStart"/>
      <w:r w:rsidRPr="00E15E21">
        <w:rPr>
          <w:b w:val="0"/>
        </w:rPr>
        <w:t>alcanzó</w:t>
      </w:r>
      <w:proofErr w:type="spellEnd"/>
      <w:r w:rsidRPr="00E15E21">
        <w:rPr>
          <w:b w:val="0"/>
        </w:rPr>
        <w:t xml:space="preserve"> un </w:t>
      </w:r>
      <w:proofErr w:type="spellStart"/>
      <w:r w:rsidRPr="00E15E21">
        <w:rPr>
          <w:b w:val="0"/>
        </w:rPr>
        <w:t>volumen</w:t>
      </w:r>
      <w:proofErr w:type="spellEnd"/>
      <w:r w:rsidRPr="00E15E21">
        <w:rPr>
          <w:b w:val="0"/>
        </w:rPr>
        <w:t xml:space="preserve"> de ventas </w:t>
      </w:r>
      <w:proofErr w:type="spellStart"/>
      <w:r w:rsidRPr="00E15E21">
        <w:rPr>
          <w:b w:val="0"/>
        </w:rPr>
        <w:t>consolidado</w:t>
      </w:r>
      <w:proofErr w:type="spellEnd"/>
      <w:r w:rsidRPr="00E15E21">
        <w:rPr>
          <w:b w:val="0"/>
        </w:rPr>
        <w:t xml:space="preserve"> de </w:t>
      </w:r>
      <w:proofErr w:type="spellStart"/>
      <w:r w:rsidRPr="00E15E21">
        <w:rPr>
          <w:b w:val="0"/>
        </w:rPr>
        <w:t>más</w:t>
      </w:r>
      <w:proofErr w:type="spellEnd"/>
      <w:r w:rsidRPr="00E15E21">
        <w:rPr>
          <w:b w:val="0"/>
        </w:rPr>
        <w:t xml:space="preserve"> de 11.600 </w:t>
      </w:r>
      <w:proofErr w:type="spellStart"/>
      <w:r w:rsidRPr="00E15E21">
        <w:rPr>
          <w:b w:val="0"/>
        </w:rPr>
        <w:t>millones</w:t>
      </w:r>
      <w:proofErr w:type="spellEnd"/>
      <w:r w:rsidRPr="00E15E21">
        <w:rPr>
          <w:b w:val="0"/>
        </w:rPr>
        <w:t xml:space="preserve"> de euros. Liebherr se </w:t>
      </w:r>
      <w:proofErr w:type="spellStart"/>
      <w:r w:rsidRPr="00E15E21">
        <w:rPr>
          <w:b w:val="0"/>
        </w:rPr>
        <w:t>fundó</w:t>
      </w:r>
      <w:proofErr w:type="spellEnd"/>
      <w:r w:rsidRPr="00E15E21">
        <w:rPr>
          <w:b w:val="0"/>
        </w:rPr>
        <w:t xml:space="preserve"> en el </w:t>
      </w:r>
      <w:proofErr w:type="spellStart"/>
      <w:r w:rsidRPr="00E15E21">
        <w:rPr>
          <w:b w:val="0"/>
        </w:rPr>
        <w:t>año</w:t>
      </w:r>
      <w:proofErr w:type="spellEnd"/>
      <w:r w:rsidRPr="00E15E21">
        <w:rPr>
          <w:b w:val="0"/>
        </w:rPr>
        <w:t xml:space="preserve"> 1949 en la </w:t>
      </w:r>
      <w:proofErr w:type="spellStart"/>
      <w:r w:rsidRPr="00E15E21">
        <w:rPr>
          <w:b w:val="0"/>
        </w:rPr>
        <w:t>localidad</w:t>
      </w:r>
      <w:proofErr w:type="spellEnd"/>
      <w:r w:rsidRPr="00E15E21">
        <w:rPr>
          <w:b w:val="0"/>
        </w:rPr>
        <w:t xml:space="preserve"> </w:t>
      </w:r>
      <w:proofErr w:type="spellStart"/>
      <w:r w:rsidRPr="00E15E21">
        <w:rPr>
          <w:b w:val="0"/>
        </w:rPr>
        <w:t>Kirchdorf</w:t>
      </w:r>
      <w:proofErr w:type="spellEnd"/>
      <w:r w:rsidRPr="00E15E21">
        <w:rPr>
          <w:b w:val="0"/>
        </w:rPr>
        <w:t xml:space="preserve"> an der Iller, al sur de </w:t>
      </w:r>
      <w:proofErr w:type="spellStart"/>
      <w:r w:rsidRPr="00E15E21">
        <w:rPr>
          <w:b w:val="0"/>
        </w:rPr>
        <w:t>Alemania</w:t>
      </w:r>
      <w:proofErr w:type="spellEnd"/>
      <w:r w:rsidRPr="00E15E21">
        <w:rPr>
          <w:b w:val="0"/>
        </w:rPr>
        <w:t xml:space="preserve">. </w:t>
      </w:r>
      <w:proofErr w:type="spellStart"/>
      <w:r w:rsidRPr="00E15E21">
        <w:rPr>
          <w:b w:val="0"/>
        </w:rPr>
        <w:t>Desde</w:t>
      </w:r>
      <w:proofErr w:type="spellEnd"/>
      <w:r w:rsidRPr="00E15E21">
        <w:rPr>
          <w:b w:val="0"/>
        </w:rPr>
        <w:t xml:space="preserve"> </w:t>
      </w:r>
      <w:proofErr w:type="spellStart"/>
      <w:r w:rsidRPr="00E15E21">
        <w:rPr>
          <w:b w:val="0"/>
        </w:rPr>
        <w:t>entonces</w:t>
      </w:r>
      <w:proofErr w:type="spellEnd"/>
      <w:r w:rsidRPr="00E15E21">
        <w:rPr>
          <w:b w:val="0"/>
        </w:rPr>
        <w:t xml:space="preserve">, los </w:t>
      </w:r>
      <w:proofErr w:type="spellStart"/>
      <w:r w:rsidRPr="00E15E21">
        <w:rPr>
          <w:b w:val="0"/>
        </w:rPr>
        <w:t>empleados</w:t>
      </w:r>
      <w:proofErr w:type="spellEnd"/>
      <w:r w:rsidRPr="00E15E21">
        <w:rPr>
          <w:b w:val="0"/>
        </w:rPr>
        <w:t xml:space="preserve"> </w:t>
      </w:r>
      <w:proofErr w:type="spellStart"/>
      <w:r w:rsidRPr="00E15E21">
        <w:rPr>
          <w:b w:val="0"/>
        </w:rPr>
        <w:t>trabajan</w:t>
      </w:r>
      <w:proofErr w:type="spellEnd"/>
      <w:r w:rsidRPr="00E15E21">
        <w:rPr>
          <w:b w:val="0"/>
        </w:rPr>
        <w:t xml:space="preserve"> con el </w:t>
      </w:r>
      <w:proofErr w:type="spellStart"/>
      <w:r w:rsidRPr="00E15E21">
        <w:rPr>
          <w:b w:val="0"/>
        </w:rPr>
        <w:t>objetivo</w:t>
      </w:r>
      <w:proofErr w:type="spellEnd"/>
      <w:r w:rsidRPr="00E15E21">
        <w:rPr>
          <w:b w:val="0"/>
        </w:rPr>
        <w:t xml:space="preserve"> de </w:t>
      </w:r>
      <w:proofErr w:type="spellStart"/>
      <w:r w:rsidRPr="00E15E21">
        <w:rPr>
          <w:b w:val="0"/>
        </w:rPr>
        <w:t>convencer</w:t>
      </w:r>
      <w:proofErr w:type="spellEnd"/>
      <w:r w:rsidRPr="00E15E21">
        <w:rPr>
          <w:b w:val="0"/>
        </w:rPr>
        <w:t xml:space="preserve"> a sus clientes con </w:t>
      </w:r>
      <w:proofErr w:type="spellStart"/>
      <w:r w:rsidRPr="00E15E21">
        <w:rPr>
          <w:b w:val="0"/>
        </w:rPr>
        <w:t>soluciones</w:t>
      </w:r>
      <w:proofErr w:type="spellEnd"/>
      <w:r w:rsidRPr="00E15E21">
        <w:rPr>
          <w:b w:val="0"/>
        </w:rPr>
        <w:t xml:space="preserve"> </w:t>
      </w:r>
      <w:proofErr w:type="spellStart"/>
      <w:r w:rsidRPr="00E15E21">
        <w:rPr>
          <w:b w:val="0"/>
        </w:rPr>
        <w:t>exigentes</w:t>
      </w:r>
      <w:proofErr w:type="spellEnd"/>
      <w:r w:rsidRPr="00E15E21">
        <w:rPr>
          <w:b w:val="0"/>
        </w:rPr>
        <w:t xml:space="preserve"> y de </w:t>
      </w:r>
      <w:proofErr w:type="spellStart"/>
      <w:r w:rsidRPr="00E15E21">
        <w:rPr>
          <w:b w:val="0"/>
        </w:rPr>
        <w:t>contribuir</w:t>
      </w:r>
      <w:proofErr w:type="spellEnd"/>
      <w:r w:rsidRPr="00E15E21">
        <w:rPr>
          <w:b w:val="0"/>
        </w:rPr>
        <w:t xml:space="preserve"> al </w:t>
      </w:r>
      <w:proofErr w:type="spellStart"/>
      <w:r w:rsidRPr="00E15E21">
        <w:rPr>
          <w:b w:val="0"/>
        </w:rPr>
        <w:t>progreso</w:t>
      </w:r>
      <w:proofErr w:type="spellEnd"/>
      <w:r w:rsidRPr="00E15E21">
        <w:rPr>
          <w:b w:val="0"/>
        </w:rPr>
        <w:t xml:space="preserve"> </w:t>
      </w:r>
      <w:proofErr w:type="spellStart"/>
      <w:r w:rsidRPr="00E15E21">
        <w:rPr>
          <w:b w:val="0"/>
        </w:rPr>
        <w:t>tecnológico</w:t>
      </w:r>
      <w:proofErr w:type="spellEnd"/>
      <w:r w:rsidRPr="00E15E21">
        <w:rPr>
          <w:b w:val="0"/>
        </w:rPr>
        <w:t>.</w:t>
      </w:r>
    </w:p>
    <w:p w14:paraId="2AE23DC7" w14:textId="0B21BBC2" w:rsidR="009A3D17" w:rsidRPr="008F5137" w:rsidRDefault="007E7FC6" w:rsidP="00436FE9">
      <w:pPr>
        <w:pStyle w:val="Copyhead11Pt"/>
        <w:rPr>
          <w:lang w:val="en-US"/>
        </w:rPr>
      </w:pPr>
      <w:proofErr w:type="spellStart"/>
      <w:r w:rsidRPr="008F5137">
        <w:rPr>
          <w:lang w:val="en-US"/>
        </w:rPr>
        <w:t>Imágenes</w:t>
      </w:r>
      <w:proofErr w:type="spellEnd"/>
    </w:p>
    <w:p w14:paraId="32A643BD" w14:textId="458CB4AF" w:rsidR="001E632D" w:rsidRPr="00E15E21" w:rsidRDefault="001E632D" w:rsidP="00436FE9">
      <w:pPr>
        <w:pStyle w:val="Copyhead11Pt"/>
        <w:rPr>
          <w:lang w:val="fr-FR"/>
        </w:rPr>
      </w:pPr>
      <w:r w:rsidRPr="008F5137">
        <w:rPr>
          <w:noProof/>
          <w:lang w:val="de-DE"/>
        </w:rPr>
        <w:drawing>
          <wp:anchor distT="0" distB="0" distL="114300" distR="114300" simplePos="0" relativeHeight="251658240" behindDoc="0" locked="0" layoutInCell="1" allowOverlap="1" wp14:anchorId="003B7DCE" wp14:editId="304B9071">
            <wp:simplePos x="0" y="0"/>
            <wp:positionH relativeFrom="column">
              <wp:posOffset>38735</wp:posOffset>
            </wp:positionH>
            <wp:positionV relativeFrom="paragraph">
              <wp:posOffset>39370</wp:posOffset>
            </wp:positionV>
            <wp:extent cx="3028950" cy="1895475"/>
            <wp:effectExtent l="0" t="0" r="0" b="9525"/>
            <wp:wrapNone/>
            <wp:docPr id="620277830" name="Grafik 62027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8950" cy="1895475"/>
                    </a:xfrm>
                    <a:prstGeom prst="rect">
                      <a:avLst/>
                    </a:prstGeom>
                  </pic:spPr>
                </pic:pic>
              </a:graphicData>
            </a:graphic>
            <wp14:sizeRelH relativeFrom="page">
              <wp14:pctWidth>0</wp14:pctWidth>
            </wp14:sizeRelH>
            <wp14:sizeRelV relativeFrom="page">
              <wp14:pctHeight>0</wp14:pctHeight>
            </wp14:sizeRelV>
          </wp:anchor>
        </w:drawing>
      </w:r>
    </w:p>
    <w:p w14:paraId="4503C4A8" w14:textId="40317CC7" w:rsidR="001E632D" w:rsidRPr="00E15E21" w:rsidRDefault="001E632D" w:rsidP="00436FE9">
      <w:pPr>
        <w:pStyle w:val="Copyhead11Pt"/>
        <w:rPr>
          <w:lang w:val="fr-FR"/>
        </w:rPr>
      </w:pPr>
    </w:p>
    <w:p w14:paraId="68FBAE17" w14:textId="24C7C199" w:rsidR="001E632D" w:rsidRPr="00E15E21" w:rsidRDefault="001E632D" w:rsidP="00436FE9">
      <w:pPr>
        <w:pStyle w:val="Copyhead11Pt"/>
        <w:rPr>
          <w:lang w:val="fr-FR"/>
        </w:rPr>
      </w:pPr>
    </w:p>
    <w:p w14:paraId="1E5AE386" w14:textId="70A21BBE" w:rsidR="001E632D" w:rsidRPr="00E15E21" w:rsidRDefault="001E632D" w:rsidP="00436FE9">
      <w:pPr>
        <w:pStyle w:val="Copyhead11Pt"/>
        <w:rPr>
          <w:lang w:val="fr-FR"/>
        </w:rPr>
      </w:pPr>
    </w:p>
    <w:p w14:paraId="160F4AC7" w14:textId="0D9FE944" w:rsidR="001E632D" w:rsidRPr="00E15E21" w:rsidRDefault="001E632D" w:rsidP="00436FE9">
      <w:pPr>
        <w:pStyle w:val="Copyhead11Pt"/>
        <w:rPr>
          <w:lang w:val="fr-FR"/>
        </w:rPr>
      </w:pPr>
    </w:p>
    <w:p w14:paraId="4AC4874E" w14:textId="6FF2AAAC" w:rsidR="001E632D" w:rsidRPr="00E15E21" w:rsidRDefault="001E632D" w:rsidP="00436FE9">
      <w:pPr>
        <w:pStyle w:val="Copyhead11Pt"/>
        <w:rPr>
          <w:lang w:val="fr-FR"/>
        </w:rPr>
      </w:pPr>
    </w:p>
    <w:p w14:paraId="4468C758" w14:textId="32C36DC9" w:rsidR="00436FE9" w:rsidRPr="008F5137" w:rsidRDefault="00436FE9" w:rsidP="009A3D17">
      <w:pPr>
        <w:rPr>
          <w:rFonts w:ascii="Arial" w:eastAsiaTheme="minorHAnsi" w:hAnsi="Arial" w:cs="Arial"/>
          <w:sz w:val="18"/>
          <w:szCs w:val="18"/>
          <w:lang w:val="en-US"/>
        </w:rPr>
      </w:pPr>
      <w:proofErr w:type="gramStart"/>
      <w:r w:rsidRPr="008F5137">
        <w:rPr>
          <w:rFonts w:ascii="Arial" w:hAnsi="Arial"/>
          <w:sz w:val="18"/>
          <w:szCs w:val="18"/>
          <w:lang w:val="en-US" w:eastAsia="en-US"/>
        </w:rPr>
        <w:t>liebherr-bcm-for-more-safety.jpg</w:t>
      </w:r>
      <w:proofErr w:type="gramEnd"/>
    </w:p>
    <w:p w14:paraId="02B462D3" w14:textId="66BD87F3" w:rsidR="009A3D17" w:rsidRPr="008F5137" w:rsidRDefault="00436FE9" w:rsidP="009A3D17">
      <w:pPr>
        <w:rPr>
          <w:rFonts w:ascii="Arial" w:eastAsiaTheme="minorHAnsi" w:hAnsi="Arial" w:cs="Arial"/>
          <w:sz w:val="18"/>
          <w:szCs w:val="18"/>
        </w:rPr>
      </w:pPr>
      <w:r w:rsidRPr="008F5137">
        <w:rPr>
          <w:rFonts w:ascii="Arial" w:hAnsi="Arial"/>
          <w:sz w:val="18"/>
          <w:szCs w:val="18"/>
        </w:rPr>
        <w:t>La zona de peligro de la excavadora se encuentra directamente en el punto donde el personal de servicio conecta el dispositivo de medición durante una medición manual.</w:t>
      </w:r>
    </w:p>
    <w:p w14:paraId="240B7EE0" w14:textId="2473A948" w:rsidR="00FB1E5E" w:rsidRPr="008F5137" w:rsidRDefault="56AABC04" w:rsidP="56AABC04">
      <w:pPr>
        <w:pStyle w:val="Caption9Pt"/>
        <w:rPr>
          <w:rFonts w:eastAsia="Calibri"/>
        </w:rPr>
      </w:pPr>
      <w:r w:rsidRPr="008F5137">
        <w:rPr>
          <w:noProof/>
          <w:lang w:val="de-DE" w:eastAsia="de-DE"/>
        </w:rPr>
        <w:lastRenderedPageBreak/>
        <w:drawing>
          <wp:inline distT="0" distB="0" distL="0" distR="0" wp14:anchorId="0EF2AE39" wp14:editId="11F13474">
            <wp:extent cx="3009900" cy="1881188"/>
            <wp:effectExtent l="0" t="0" r="0" b="0"/>
            <wp:docPr id="1847938155" name="Grafik 184793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9900" cy="1881188"/>
                    </a:xfrm>
                    <a:prstGeom prst="rect">
                      <a:avLst/>
                    </a:prstGeom>
                  </pic:spPr>
                </pic:pic>
              </a:graphicData>
            </a:graphic>
          </wp:inline>
        </w:drawing>
      </w:r>
    </w:p>
    <w:p w14:paraId="1942110A" w14:textId="77777777" w:rsidR="007E1587" w:rsidRPr="008F5137" w:rsidRDefault="00E856F3" w:rsidP="007E1587">
      <w:pPr>
        <w:pStyle w:val="Caption9Pt"/>
      </w:pPr>
      <w:r w:rsidRPr="008F5137">
        <w:t>liebherr-bcm-solution.jpg</w:t>
      </w:r>
      <w:r w:rsidRPr="008F5137">
        <w:br/>
        <w:t>Así es como funciona el sistema de control del juego de rodamientos de Liebherr.</w:t>
      </w:r>
    </w:p>
    <w:p w14:paraId="6F98FF0F" w14:textId="77777777" w:rsidR="007E1587" w:rsidRPr="008F5137" w:rsidRDefault="007E1587" w:rsidP="007E1587">
      <w:pPr>
        <w:pStyle w:val="Copyhead11Pt"/>
      </w:pPr>
    </w:p>
    <w:p w14:paraId="49504890" w14:textId="0A295B1C" w:rsidR="008D70BE" w:rsidRPr="008F5137" w:rsidRDefault="00A64335" w:rsidP="00E15E21">
      <w:pPr>
        <w:pStyle w:val="Copyhead11Pt"/>
        <w:spacing w:after="0"/>
      </w:pPr>
      <w:r w:rsidRPr="008F5137">
        <w:t>Contacto</w:t>
      </w:r>
    </w:p>
    <w:p w14:paraId="27FC9F25" w14:textId="2284C67C" w:rsidR="008D70BE" w:rsidRPr="008F5137" w:rsidRDefault="004A5343" w:rsidP="00E15E21">
      <w:pPr>
        <w:pStyle w:val="Copytext11Pt"/>
        <w:spacing w:after="0"/>
      </w:pPr>
      <w:r w:rsidRPr="008F5137">
        <w:t>Alexandra Nolde</w:t>
      </w:r>
      <w:r w:rsidRPr="008F5137">
        <w:br/>
        <w:t>Especialista sénior en comunicación y medios</w:t>
      </w:r>
      <w:r w:rsidRPr="008F5137">
        <w:br/>
        <w:t>Teléfono: +41 56 296 4326</w:t>
      </w:r>
      <w:r w:rsidRPr="008F5137">
        <w:br/>
        <w:t>Correo electrónico: alexandra.nolde@liebherr.com</w:t>
      </w:r>
    </w:p>
    <w:p w14:paraId="1CF53A39" w14:textId="77777777" w:rsidR="00E15E21" w:rsidRDefault="00E15E21" w:rsidP="00E15E21">
      <w:pPr>
        <w:pStyle w:val="Copyhead11Pt"/>
        <w:spacing w:after="0"/>
      </w:pPr>
    </w:p>
    <w:p w14:paraId="21721853" w14:textId="6C2D3272" w:rsidR="008D70BE" w:rsidRPr="008F5137" w:rsidRDefault="008D70BE" w:rsidP="00E15E21">
      <w:pPr>
        <w:pStyle w:val="Copyhead11Pt"/>
        <w:spacing w:after="0"/>
      </w:pPr>
      <w:r w:rsidRPr="008F5137">
        <w:t>Editor</w:t>
      </w:r>
    </w:p>
    <w:p w14:paraId="026D82AE" w14:textId="65DEE5A5" w:rsidR="007E1587" w:rsidRPr="008F5137" w:rsidRDefault="00AF113A" w:rsidP="00E15E21">
      <w:pPr>
        <w:pStyle w:val="Copytext11Pt"/>
        <w:spacing w:after="0"/>
        <w:rPr>
          <w:rStyle w:val="Hyperlink"/>
        </w:rPr>
      </w:pPr>
      <w:r w:rsidRPr="008F5137">
        <w:t>Liebherr-</w:t>
      </w:r>
      <w:proofErr w:type="spellStart"/>
      <w:r w:rsidRPr="008F5137">
        <w:t>Components</w:t>
      </w:r>
      <w:proofErr w:type="spellEnd"/>
      <w:r w:rsidRPr="008F5137">
        <w:t xml:space="preserve"> AG</w:t>
      </w:r>
      <w:r w:rsidRPr="008F5137">
        <w:br/>
      </w:r>
      <w:proofErr w:type="spellStart"/>
      <w:r w:rsidRPr="008F5137">
        <w:t>Nussbaumen</w:t>
      </w:r>
      <w:proofErr w:type="spellEnd"/>
      <w:r w:rsidRPr="008F5137">
        <w:t> / Suiza</w:t>
      </w:r>
      <w:r w:rsidRPr="008F5137">
        <w:br/>
      </w:r>
      <w:hyperlink r:id="rId13" w:history="1">
        <w:r w:rsidRPr="008F5137">
          <w:rPr>
            <w:rStyle w:val="Hyperlink"/>
          </w:rPr>
          <w:t>www.liebherr.com/components-bearing-condition-monitoring</w:t>
        </w:r>
      </w:hyperlink>
    </w:p>
    <w:p w14:paraId="15553AB2" w14:textId="36CD70CF" w:rsidR="00A50E52" w:rsidRPr="008F5137" w:rsidRDefault="00A50E52" w:rsidP="00A50E52">
      <w:pPr>
        <w:pStyle w:val="Copytext11Pt"/>
        <w:spacing w:after="0"/>
      </w:pPr>
    </w:p>
    <w:sectPr w:rsidR="00A50E52" w:rsidRPr="008F513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083" w14:textId="77777777" w:rsidR="002854E5" w:rsidRDefault="002854E5" w:rsidP="00B81ED6">
      <w:pPr>
        <w:spacing w:after="0" w:line="240" w:lineRule="auto"/>
      </w:pPr>
      <w:r>
        <w:separator/>
      </w:r>
    </w:p>
  </w:endnote>
  <w:endnote w:type="continuationSeparator" w:id="0">
    <w:p w14:paraId="7EA12F9F" w14:textId="77777777" w:rsidR="002854E5" w:rsidRDefault="002854E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等线 Light">
    <w:altName w:val="Microsoft YaHei"/>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875B" w14:textId="15AC1D0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15E2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15E2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15E2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E15E21">
      <w:rPr>
        <w:rFonts w:ascii="Arial" w:hAnsi="Arial" w:cs="Arial"/>
      </w:rPr>
      <w:fldChar w:fldCharType="separate"/>
    </w:r>
    <w:r w:rsidR="00E15E21">
      <w:rPr>
        <w:rFonts w:ascii="Arial" w:hAnsi="Arial" w:cs="Arial"/>
        <w:noProof/>
      </w:rPr>
      <w:t>2</w:t>
    </w:r>
    <w:r w:rsidR="00E15E21" w:rsidRPr="0093605C">
      <w:rPr>
        <w:rFonts w:ascii="Arial" w:hAnsi="Arial" w:cs="Arial"/>
        <w:noProof/>
      </w:rPr>
      <w:t>/</w:t>
    </w:r>
    <w:r w:rsidR="00E15E2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1530C" w14:textId="77777777" w:rsidR="002854E5" w:rsidRDefault="002854E5" w:rsidP="00B81ED6">
      <w:pPr>
        <w:spacing w:after="0" w:line="240" w:lineRule="auto"/>
      </w:pPr>
      <w:r>
        <w:separator/>
      </w:r>
    </w:p>
  </w:footnote>
  <w:footnote w:type="continuationSeparator" w:id="0">
    <w:p w14:paraId="2A278563" w14:textId="77777777" w:rsidR="002854E5" w:rsidRDefault="002854E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0AE6" w14:textId="77777777" w:rsidR="00E847CC" w:rsidRDefault="00E847CC">
    <w:pPr>
      <w:pStyle w:val="Kopfzeile"/>
    </w:pPr>
    <w:r>
      <w:tab/>
    </w:r>
    <w:r>
      <w:tab/>
    </w:r>
    <w:r>
      <w:ptab w:relativeTo="margin" w:alignment="right" w:leader="none"/>
    </w:r>
    <w:r>
      <w:rPr>
        <w:noProof/>
        <w:lang w:val="de-DE" w:eastAsia="de-DE"/>
      </w:rPr>
      <w:drawing>
        <wp:inline distT="0" distB="0" distL="0" distR="0" wp14:anchorId="66E80D6A" wp14:editId="6F579C3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A0EE38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1786"/>
    <w:rsid w:val="00033002"/>
    <w:rsid w:val="00066E54"/>
    <w:rsid w:val="000B4E97"/>
    <w:rsid w:val="001419B4"/>
    <w:rsid w:val="00145DB7"/>
    <w:rsid w:val="00194D30"/>
    <w:rsid w:val="001E632D"/>
    <w:rsid w:val="00234F7A"/>
    <w:rsid w:val="00250372"/>
    <w:rsid w:val="002854E5"/>
    <w:rsid w:val="002B3F9E"/>
    <w:rsid w:val="00327624"/>
    <w:rsid w:val="003524D2"/>
    <w:rsid w:val="0037389B"/>
    <w:rsid w:val="003936A6"/>
    <w:rsid w:val="003D25B1"/>
    <w:rsid w:val="003D42A4"/>
    <w:rsid w:val="003E1C44"/>
    <w:rsid w:val="004079F0"/>
    <w:rsid w:val="00436FE9"/>
    <w:rsid w:val="00451BB2"/>
    <w:rsid w:val="00463326"/>
    <w:rsid w:val="004708EB"/>
    <w:rsid w:val="00492D3B"/>
    <w:rsid w:val="004932AF"/>
    <w:rsid w:val="004A5343"/>
    <w:rsid w:val="00555746"/>
    <w:rsid w:val="00556698"/>
    <w:rsid w:val="00566A67"/>
    <w:rsid w:val="005868E7"/>
    <w:rsid w:val="00652E53"/>
    <w:rsid w:val="007B1AEF"/>
    <w:rsid w:val="007C2DD9"/>
    <w:rsid w:val="007E1587"/>
    <w:rsid w:val="007E7FC6"/>
    <w:rsid w:val="007F2586"/>
    <w:rsid w:val="00824226"/>
    <w:rsid w:val="008B10DC"/>
    <w:rsid w:val="008D70BE"/>
    <w:rsid w:val="008F5137"/>
    <w:rsid w:val="009169F9"/>
    <w:rsid w:val="0093605C"/>
    <w:rsid w:val="00965077"/>
    <w:rsid w:val="00974245"/>
    <w:rsid w:val="009A3D17"/>
    <w:rsid w:val="009B130E"/>
    <w:rsid w:val="009D5C17"/>
    <w:rsid w:val="00A01AF9"/>
    <w:rsid w:val="00A40241"/>
    <w:rsid w:val="00A50E52"/>
    <w:rsid w:val="00A64335"/>
    <w:rsid w:val="00A94959"/>
    <w:rsid w:val="00AC2129"/>
    <w:rsid w:val="00AF113A"/>
    <w:rsid w:val="00AF1F99"/>
    <w:rsid w:val="00AF789A"/>
    <w:rsid w:val="00B139D2"/>
    <w:rsid w:val="00B55529"/>
    <w:rsid w:val="00B66D75"/>
    <w:rsid w:val="00B81ED6"/>
    <w:rsid w:val="00BB0BFF"/>
    <w:rsid w:val="00BD0270"/>
    <w:rsid w:val="00BD7045"/>
    <w:rsid w:val="00BF35CA"/>
    <w:rsid w:val="00C464EC"/>
    <w:rsid w:val="00C62207"/>
    <w:rsid w:val="00C77574"/>
    <w:rsid w:val="00CC64B3"/>
    <w:rsid w:val="00D82EAE"/>
    <w:rsid w:val="00DA3D06"/>
    <w:rsid w:val="00DF40C0"/>
    <w:rsid w:val="00E15E21"/>
    <w:rsid w:val="00E260E6"/>
    <w:rsid w:val="00E32363"/>
    <w:rsid w:val="00E435BA"/>
    <w:rsid w:val="00E57DEB"/>
    <w:rsid w:val="00E847CC"/>
    <w:rsid w:val="00E856F3"/>
    <w:rsid w:val="00EA26F3"/>
    <w:rsid w:val="00EF1DB7"/>
    <w:rsid w:val="00F654C7"/>
    <w:rsid w:val="00F77814"/>
    <w:rsid w:val="00FB1E5E"/>
    <w:rsid w:val="00FF1750"/>
    <w:rsid w:val="56AABC04"/>
    <w:rsid w:val="711698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4A121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s-ES" w:eastAsia="en-US"/>
    </w:rPr>
  </w:style>
  <w:style w:type="paragraph" w:styleId="Sprechblasentext">
    <w:name w:val="Balloon Text"/>
    <w:basedOn w:val="Standard"/>
    <w:link w:val="SprechblasentextZchn"/>
    <w:uiPriority w:val="99"/>
    <w:semiHidden/>
    <w:unhideWhenUsed/>
    <w:rsid w:val="00DA3D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D06"/>
    <w:rPr>
      <w:rFonts w:ascii="Segoe UI" w:hAnsi="Segoe UI" w:cs="Segoe UI"/>
      <w:sz w:val="18"/>
      <w:szCs w:val="18"/>
    </w:rPr>
  </w:style>
  <w:style w:type="character" w:styleId="Kommentarzeichen">
    <w:name w:val="annotation reference"/>
    <w:basedOn w:val="Absatz-Standardschriftart"/>
    <w:uiPriority w:val="99"/>
    <w:semiHidden/>
    <w:unhideWhenUsed/>
    <w:rsid w:val="000B4E97"/>
    <w:rPr>
      <w:sz w:val="16"/>
      <w:szCs w:val="16"/>
    </w:rPr>
  </w:style>
  <w:style w:type="paragraph" w:styleId="Kommentartext">
    <w:name w:val="annotation text"/>
    <w:basedOn w:val="Standard"/>
    <w:link w:val="KommentartextZchn"/>
    <w:uiPriority w:val="99"/>
    <w:semiHidden/>
    <w:unhideWhenUsed/>
    <w:rsid w:val="000B4E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4E97"/>
    <w:rPr>
      <w:sz w:val="20"/>
      <w:szCs w:val="20"/>
    </w:rPr>
  </w:style>
  <w:style w:type="paragraph" w:styleId="Kommentarthema">
    <w:name w:val="annotation subject"/>
    <w:basedOn w:val="Kommentartext"/>
    <w:next w:val="Kommentartext"/>
    <w:link w:val="KommentarthemaZchn"/>
    <w:uiPriority w:val="99"/>
    <w:semiHidden/>
    <w:unhideWhenUsed/>
    <w:rsid w:val="000B4E97"/>
    <w:rPr>
      <w:b/>
      <w:bCs/>
    </w:rPr>
  </w:style>
  <w:style w:type="character" w:customStyle="1" w:styleId="KommentarthemaZchn">
    <w:name w:val="Kommentarthema Zchn"/>
    <w:basedOn w:val="KommentartextZchn"/>
    <w:link w:val="Kommentarthema"/>
    <w:uiPriority w:val="99"/>
    <w:semiHidden/>
    <w:rsid w:val="000B4E97"/>
    <w:rPr>
      <w:b/>
      <w:bCs/>
      <w:sz w:val="20"/>
      <w:szCs w:val="20"/>
    </w:rPr>
  </w:style>
  <w:style w:type="character" w:styleId="BesuchterLink">
    <w:name w:val="FollowedHyperlink"/>
    <w:basedOn w:val="Absatz-Standardschriftart"/>
    <w:uiPriority w:val="99"/>
    <w:semiHidden/>
    <w:unhideWhenUsed/>
    <w:rsid w:val="007E1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71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components-bearing-condition-monito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2C79E457B104DB953EE632BDCEF77" ma:contentTypeVersion="8" ma:contentTypeDescription="Create a new document." ma:contentTypeScope="" ma:versionID="1c0493fabcdcd2b59f8443b9b0212404">
  <xsd:schema xmlns:xsd="http://www.w3.org/2001/XMLSchema" xmlns:xs="http://www.w3.org/2001/XMLSchema" xmlns:p="http://schemas.microsoft.com/office/2006/metadata/properties" xmlns:ns2="0bc41ae2-c949-4b9b-80dc-37b472e7e38b" targetNamespace="http://schemas.microsoft.com/office/2006/metadata/properties" ma:root="true" ma:fieldsID="c32148f91b09116c7abf365458fc77c3" ns2:_="">
    <xsd:import namespace="0bc41ae2-c949-4b9b-80dc-37b472e7e3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41ae2-c949-4b9b-80dc-37b472e7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C2B7-EB22-407F-A6A4-E9F478707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41ae2-c949-4b9b-80dc-37b472e7e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9E959-2C40-4222-AFC9-F6C0A0911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139EAF-0E57-498B-85C7-CC4D886AE3A1}">
  <ds:schemaRefs>
    <ds:schemaRef ds:uri="http://schemas.microsoft.com/sharepoint/v3/contenttype/forms"/>
  </ds:schemaRefs>
</ds:datastoreItem>
</file>

<file path=customXml/itemProps4.xml><?xml version="1.0" encoding="utf-8"?>
<ds:datastoreItem xmlns:ds="http://schemas.openxmlformats.org/officeDocument/2006/customXml" ds:itemID="{A7C361FE-336C-417F-BAE8-B076CA6E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4917</Characters>
  <Application>Microsoft Office Word</Application>
  <DocSecurity>0</DocSecurity>
  <Lines>40</Lines>
  <Paragraphs>11</Paragraphs>
  <ScaleCrop>false</ScaleCrop>
  <Company>Liebherr</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Nolde Alexandra (COS)</cp:lastModifiedBy>
  <cp:revision>5</cp:revision>
  <dcterms:created xsi:type="dcterms:W3CDTF">2022-06-02T13:57:00Z</dcterms:created>
  <dcterms:modified xsi:type="dcterms:W3CDTF">2022-06-09T14:03:00Z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0x010100F762C79E457B104DB953EE632BDCEF77</vt:lpwstr>
  </property>
</Properties>
</file>