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D198E" w14:textId="77777777" w:rsidR="008D70BE" w:rsidRPr="007E0886" w:rsidRDefault="008D70BE" w:rsidP="008D70BE">
      <w:pPr>
        <w:pStyle w:val="Topline16Pt"/>
        <w:spacing w:before="240"/>
      </w:pPr>
      <w:r w:rsidRPr="007E0886">
        <w:t>Comunicado de imprensa</w:t>
      </w:r>
    </w:p>
    <w:p w14:paraId="551A1D53" w14:textId="77777777" w:rsidR="00F654C7" w:rsidRPr="007E0886" w:rsidRDefault="00A94959" w:rsidP="008D70BE">
      <w:pPr>
        <w:pStyle w:val="HeadlineH233Pt"/>
      </w:pPr>
      <w:r w:rsidRPr="007E0886">
        <w:t>Monitoramento digital de distância para rolamentos de giro</w:t>
      </w:r>
    </w:p>
    <w:p w14:paraId="65E3D097" w14:textId="77777777" w:rsidR="00B81ED6" w:rsidRPr="007E0886" w:rsidRDefault="00B81ED6" w:rsidP="00B81ED6">
      <w:pPr>
        <w:pStyle w:val="HeadlineH233Pt"/>
        <w:spacing w:before="240" w:after="240" w:line="140" w:lineRule="exact"/>
        <w:rPr>
          <w:rFonts w:ascii="Tahoma" w:hAnsi="Tahoma" w:cs="Tahoma"/>
        </w:rPr>
      </w:pPr>
      <w:r w:rsidRPr="007E0886">
        <w:rPr>
          <w:rFonts w:ascii="Tahoma" w:hAnsi="Tahoma"/>
        </w:rPr>
        <w:t>⸺</w:t>
      </w:r>
    </w:p>
    <w:p w14:paraId="6FC63015" w14:textId="48B1A59B" w:rsidR="00A94959" w:rsidRPr="007E0886" w:rsidRDefault="00A94959" w:rsidP="00A94959">
      <w:pPr>
        <w:pStyle w:val="Bulletpoints11Pt"/>
      </w:pPr>
      <w:r w:rsidRPr="007E0886">
        <w:t>A Liebherr possibilita medição de desgaste de alta precisão à distância.</w:t>
      </w:r>
    </w:p>
    <w:p w14:paraId="212F7FCE" w14:textId="77777777" w:rsidR="00A94959" w:rsidRPr="007E0886" w:rsidRDefault="00A94959" w:rsidP="00A94959">
      <w:pPr>
        <w:pStyle w:val="Bulletpoints11Pt"/>
      </w:pPr>
      <w:r w:rsidRPr="007E0886">
        <w:t>A nova tecnologia garante maior segurança na zona perigosa.</w:t>
      </w:r>
    </w:p>
    <w:p w14:paraId="3646C426" w14:textId="77777777" w:rsidR="00A94959" w:rsidRPr="007E0886" w:rsidRDefault="00A94959" w:rsidP="00E856F3">
      <w:pPr>
        <w:pStyle w:val="Bulletpoints11Pt"/>
      </w:pPr>
      <w:r w:rsidRPr="007E0886">
        <w:t>O monitoramento da condição também está disponível para medição de lubrificação e temperatura.</w:t>
      </w:r>
    </w:p>
    <w:p w14:paraId="53DFB620" w14:textId="77777777" w:rsidR="00A94959" w:rsidRPr="007E0886" w:rsidRDefault="00A94959" w:rsidP="00A94959">
      <w:pPr>
        <w:pStyle w:val="Bulletpoints11Pt"/>
        <w:numPr>
          <w:ilvl w:val="0"/>
          <w:numId w:val="0"/>
        </w:numPr>
        <w:ind w:left="284"/>
      </w:pPr>
    </w:p>
    <w:p w14:paraId="485ADF0A" w14:textId="75373C49" w:rsidR="00A94959" w:rsidRPr="007E0886" w:rsidRDefault="00DA3D06" w:rsidP="00A94959">
      <w:pPr>
        <w:pStyle w:val="Copytext11Pt"/>
        <w:rPr>
          <w:b/>
        </w:rPr>
      </w:pPr>
      <w:r w:rsidRPr="007E0886">
        <w:rPr>
          <w:b/>
        </w:rPr>
        <w:t xml:space="preserve">Nussbaumen (Suíça), 23 de fevereiro de 2022 – Com o sistema de monitoramento de condição para rolamentos de giro, a Liebherr criou um sistema de monitoramento digital. O sistema integrado de medição de desgaste, monitoramento de distância do rolamento (BCM na sigla em inglês), garante o monitoramento remoto ideal dos rolamentos de giro em várias aplicações, como equipamentos de mineração e manuseio de materiais ou aplicações marítimas. O sistema de BCM pode ser usado para medir desgaste de rolamento em direções axial e radial, bem como a distância da inclinação. Um diagnóstico remoto como esse garante flexibilidade na medição, bem como tempo de interrupção reduzido, menores custos de manutenção e, acima de tudo, maior proteção pessoal. </w:t>
      </w:r>
    </w:p>
    <w:p w14:paraId="612B4E4F" w14:textId="77777777" w:rsidR="00A94959" w:rsidRPr="007E0886" w:rsidRDefault="00A94959" w:rsidP="00A94959">
      <w:pPr>
        <w:pStyle w:val="BoilerplateCopyhead9Pt"/>
        <w:ind w:right="565"/>
        <w:rPr>
          <w:sz w:val="22"/>
        </w:rPr>
      </w:pPr>
      <w:r w:rsidRPr="007E0886">
        <w:rPr>
          <w:sz w:val="22"/>
        </w:rPr>
        <w:t xml:space="preserve">Mais segurança: nenhum serviço pessoal necessário na zona perigosa </w:t>
      </w:r>
    </w:p>
    <w:p w14:paraId="55681812" w14:textId="62323CD3" w:rsidR="00A94959" w:rsidRPr="007E0886" w:rsidRDefault="00A94959" w:rsidP="56AABC04">
      <w:pPr>
        <w:pStyle w:val="BoilerplateCopyhead9Pt"/>
        <w:spacing w:after="300" w:line="300" w:lineRule="exact"/>
        <w:ind w:right="567"/>
        <w:rPr>
          <w:b w:val="0"/>
          <w:sz w:val="22"/>
          <w:szCs w:val="22"/>
        </w:rPr>
      </w:pPr>
      <w:r w:rsidRPr="007E0886">
        <w:rPr>
          <w:b w:val="0"/>
          <w:sz w:val="22"/>
          <w:szCs w:val="22"/>
        </w:rPr>
        <w:t>O foco da manutenção digital de distância está na segurança pessoal. “Uma clara desvantagem de todos os métodos de medição de desgaste comuns é a necessidade de técnicas de serviço para montar mostradores ou outros dispositivos de medição diretamente no rolamento de giro, na zona perigosa sob a escavadeira ou em outras máquinas”, explica Wolfram Halder, Gerente de Produtos da unidade de negócios de rolamentos de giro. “O sistema BCM da Liebherr torna isso desnecessário, pois os dispositivos de medição já estão permanentemente instalados no rolamento”. Outra vantagem é a flexibilidade em termos de tempo. Atualmente, os operadores de máquina comissionam provedores de serviço externos para medir a distância do rolamento. Isso os torna dependentes da experiência e da agenda de empresas terceiras. “Com a manutenção digital de rolamentos de giro da Liebherr, as medições podem ser realizadas a qualquer momento fora da zona perigosa, independentemente de provedores de serviços externos”, explica Wolfram Halder.</w:t>
      </w:r>
    </w:p>
    <w:p w14:paraId="282189F6" w14:textId="77777777" w:rsidR="00BC7A6B" w:rsidRDefault="00BC7A6B" w:rsidP="00A94959">
      <w:pPr>
        <w:pStyle w:val="BoilerplateCopyhead9Pt"/>
        <w:ind w:right="565"/>
        <w:rPr>
          <w:sz w:val="22"/>
        </w:rPr>
      </w:pPr>
    </w:p>
    <w:p w14:paraId="4A265940" w14:textId="77777777" w:rsidR="00BC7A6B" w:rsidRDefault="00BC7A6B" w:rsidP="00A94959">
      <w:pPr>
        <w:pStyle w:val="BoilerplateCopyhead9Pt"/>
        <w:ind w:right="565"/>
        <w:rPr>
          <w:sz w:val="22"/>
        </w:rPr>
      </w:pPr>
    </w:p>
    <w:p w14:paraId="15704F8C" w14:textId="6884CFD7" w:rsidR="00A94959" w:rsidRPr="007E0886" w:rsidRDefault="00A94959" w:rsidP="00A94959">
      <w:pPr>
        <w:pStyle w:val="BoilerplateCopyhead9Pt"/>
        <w:ind w:right="565"/>
        <w:rPr>
          <w:sz w:val="22"/>
        </w:rPr>
      </w:pPr>
      <w:r w:rsidRPr="007E0886">
        <w:rPr>
          <w:sz w:val="22"/>
        </w:rPr>
        <w:lastRenderedPageBreak/>
        <w:t>Medição em poucos minutos: É assim que o BCM da Liebherr funciona</w:t>
      </w:r>
    </w:p>
    <w:p w14:paraId="10A85BA5" w14:textId="5F5EC1D9" w:rsidR="00A94959" w:rsidRPr="007E0886" w:rsidRDefault="00A94959" w:rsidP="00A94959">
      <w:pPr>
        <w:pStyle w:val="BoilerplateCopyhead9Pt"/>
        <w:spacing w:after="300" w:line="300" w:lineRule="exact"/>
        <w:ind w:right="567"/>
        <w:rPr>
          <w:b w:val="0"/>
          <w:sz w:val="22"/>
        </w:rPr>
      </w:pPr>
      <w:r w:rsidRPr="007E0886">
        <w:rPr>
          <w:b w:val="0"/>
          <w:sz w:val="22"/>
        </w:rPr>
        <w:t>Como funciona? A tecnologia e a conexão certas fazem com que isso aconteça. A caixa de conexão do sensor recebe os dados dos sensores acoplados ao rolamento de giro e alimenta todo o sistema BCM com energia. O gateway armazena os dados do sensor e atualiza para o BCM. Isso permite a utilização do sistema mesmo de forma autônoma, em regiões sem uma conexão de dados. Esse é o caso em minas, por exemplo, onde normalmente não há a recepção necessária para dispositivos móveis. Uma conexão direta via Bluetooth possibilita o processo de medição a partir de uma distância segura e sem conexão à rede. Inteligente, integrado e remoto, o sistema de BCM é uma pequena ajuda com grandes efeitos.</w:t>
      </w:r>
    </w:p>
    <w:p w14:paraId="25D07BBF" w14:textId="37EE0C8E" w:rsidR="00DA3D06" w:rsidRPr="007E0886" w:rsidRDefault="003E1C44" w:rsidP="00A94959">
      <w:pPr>
        <w:pStyle w:val="BoilerplateCopyhead9Pt"/>
        <w:ind w:right="565"/>
      </w:pPr>
      <w:r w:rsidRPr="007E0886">
        <w:t>Sobre a Liebherr-Components</w:t>
      </w:r>
    </w:p>
    <w:p w14:paraId="4A2807B5" w14:textId="77777777" w:rsidR="00DA3D06" w:rsidRPr="007E0886" w:rsidRDefault="00DA3D06" w:rsidP="00DA3D06">
      <w:pPr>
        <w:pStyle w:val="BoilerplateCopyhead9Pt"/>
        <w:ind w:right="565"/>
        <w:rPr>
          <w:b w:val="0"/>
        </w:rPr>
      </w:pPr>
      <w:r w:rsidRPr="007E0886">
        <w:rPr>
          <w:b w:val="0"/>
        </w:rPr>
        <w:t>Neste segmento, o grupo Liebherr é especializado no desenvolvimento, concepção, fabricação e renovação de componentes de elevado desempenho no campo da tecnologia de acionamento e  de técnica de comando mecânico, hidráulico e elétrico. A Liebherr-Component Technologies AG, com sede em Bulle (Suíça), é responsável pela coordenação de todas as atividades no segmento de produtos e componentes.</w:t>
      </w:r>
    </w:p>
    <w:p w14:paraId="7CBC82DE" w14:textId="77777777" w:rsidR="00DA3D06" w:rsidRPr="007E0886" w:rsidRDefault="00DA3D06" w:rsidP="00DA3D06">
      <w:pPr>
        <w:pStyle w:val="BoilerplateCopytext9Pt"/>
        <w:ind w:right="565"/>
      </w:pPr>
      <w:r w:rsidRPr="007E0886">
        <w:t>O extenso programa inclui motores à combustão, sistemas de injeção, módulos de controle do motor, bombas e motores de pistões axiais, cilindros hidráulicos, rolamentos de giro de grande diâmetro, caixas de engrenagens e guinchos de cabo, gabinetes de controle, componentes eletrônicos e   eletrônica de potência  como softwares. Os componentes de elevada qualidade são utilizados em gruas e máquinas de terraplanagem, na indústria mineira, aplicações marítimas, sistema eólico, em tecnologia de veículos ou em tecnologia de aviação e trânsito. Os efeitos de sinergia dos outros segmentos de produtos do grupo Liebherr são utilizados para impulsionar o desenvolvimento tecnológico contínuo.</w:t>
      </w:r>
    </w:p>
    <w:p w14:paraId="51CBC6FF" w14:textId="77777777" w:rsidR="00BC7A6B" w:rsidRPr="00D66C55" w:rsidRDefault="00BC7A6B" w:rsidP="00BC7A6B">
      <w:pPr>
        <w:pStyle w:val="BoilerplateCopyhead9Pt"/>
        <w:rPr>
          <w:lang w:val="pt-PT"/>
        </w:rPr>
      </w:pPr>
      <w:r w:rsidRPr="00D66C55">
        <w:rPr>
          <w:lang w:val="pt-PT"/>
        </w:rPr>
        <w:t>Sobre o Grupo Liebherr</w:t>
      </w:r>
    </w:p>
    <w:p w14:paraId="119E175B" w14:textId="77777777" w:rsidR="00BC7A6B" w:rsidRDefault="00BC7A6B" w:rsidP="00BC7A6B">
      <w:pPr>
        <w:pStyle w:val="BoilerplateCopytext9Pt"/>
        <w:rPr>
          <w:lang w:val="es-ES_tradnl"/>
        </w:rPr>
      </w:pPr>
      <w:r>
        <w:rPr>
          <w:lang w:val="es-ES_tradnl"/>
        </w:rPr>
        <w:t xml:space="preserve">O Grupo Liebherr é </w:t>
      </w:r>
      <w:proofErr w:type="spellStart"/>
      <w:r>
        <w:rPr>
          <w:lang w:val="es-ES_tradnl"/>
        </w:rPr>
        <w:t>uma</w:t>
      </w:r>
      <w:proofErr w:type="spellEnd"/>
      <w:r>
        <w:rPr>
          <w:lang w:val="es-ES_tradnl"/>
        </w:rPr>
        <w:t xml:space="preserve"> </w:t>
      </w:r>
      <w:proofErr w:type="spellStart"/>
      <w:r>
        <w:rPr>
          <w:lang w:val="es-ES_tradnl"/>
        </w:rPr>
        <w:t>companhia</w:t>
      </w:r>
      <w:proofErr w:type="spellEnd"/>
      <w:r>
        <w:rPr>
          <w:lang w:val="es-ES_tradnl"/>
        </w:rPr>
        <w:t xml:space="preserve"> de </w:t>
      </w:r>
      <w:proofErr w:type="spellStart"/>
      <w:r>
        <w:rPr>
          <w:lang w:val="es-ES_tradnl"/>
        </w:rPr>
        <w:t>tecnologia</w:t>
      </w:r>
      <w:proofErr w:type="spellEnd"/>
      <w:r>
        <w:rPr>
          <w:lang w:val="es-ES_tradnl"/>
        </w:rPr>
        <w:t xml:space="preserve"> de </w:t>
      </w:r>
      <w:proofErr w:type="spellStart"/>
      <w:r>
        <w:rPr>
          <w:lang w:val="es-ES_tradnl"/>
        </w:rPr>
        <w:t>gestão</w:t>
      </w:r>
      <w:proofErr w:type="spellEnd"/>
      <w:r>
        <w:rPr>
          <w:lang w:val="es-ES_tradnl"/>
        </w:rPr>
        <w:t xml:space="preserve"> familiar, </w:t>
      </w:r>
      <w:proofErr w:type="spellStart"/>
      <w:r>
        <w:rPr>
          <w:lang w:val="es-ES_tradnl"/>
        </w:rPr>
        <w:t>com</w:t>
      </w:r>
      <w:proofErr w:type="spellEnd"/>
      <w:r>
        <w:rPr>
          <w:lang w:val="es-ES_tradnl"/>
        </w:rPr>
        <w:t xml:space="preserve"> </w:t>
      </w:r>
      <w:proofErr w:type="spellStart"/>
      <w:r>
        <w:rPr>
          <w:lang w:val="es-ES_tradnl"/>
        </w:rPr>
        <w:t>uma</w:t>
      </w:r>
      <w:proofErr w:type="spellEnd"/>
      <w:r>
        <w:rPr>
          <w:lang w:val="es-ES_tradnl"/>
        </w:rPr>
        <w:t xml:space="preserve"> </w:t>
      </w:r>
      <w:proofErr w:type="spellStart"/>
      <w:r>
        <w:rPr>
          <w:lang w:val="es-ES_tradnl"/>
        </w:rPr>
        <w:t>variedade</w:t>
      </w:r>
      <w:proofErr w:type="spellEnd"/>
      <w:r>
        <w:rPr>
          <w:lang w:val="es-ES_tradnl"/>
        </w:rPr>
        <w:t xml:space="preserve"> de </w:t>
      </w:r>
      <w:proofErr w:type="spellStart"/>
      <w:r>
        <w:rPr>
          <w:lang w:val="es-ES_tradnl"/>
        </w:rPr>
        <w:t>produtos</w:t>
      </w:r>
      <w:proofErr w:type="spellEnd"/>
      <w:r>
        <w:rPr>
          <w:lang w:val="es-ES_tradnl"/>
        </w:rPr>
        <w:t xml:space="preserve"> altamente diversificada. A empresa é </w:t>
      </w:r>
      <w:proofErr w:type="spellStart"/>
      <w:r>
        <w:rPr>
          <w:lang w:val="es-ES_tradnl"/>
        </w:rPr>
        <w:t>uma</w:t>
      </w:r>
      <w:proofErr w:type="spellEnd"/>
      <w:r>
        <w:rPr>
          <w:lang w:val="es-ES_tradnl"/>
        </w:rPr>
        <w:t xml:space="preserve"> das </w:t>
      </w:r>
      <w:proofErr w:type="spellStart"/>
      <w:r>
        <w:rPr>
          <w:lang w:val="es-ES_tradnl"/>
        </w:rPr>
        <w:t>maiores</w:t>
      </w:r>
      <w:proofErr w:type="spellEnd"/>
      <w:r>
        <w:rPr>
          <w:lang w:val="es-ES_tradnl"/>
        </w:rPr>
        <w:t xml:space="preserve"> fabricantes de máquinas de </w:t>
      </w:r>
      <w:proofErr w:type="spellStart"/>
      <w:r>
        <w:rPr>
          <w:lang w:val="es-ES_tradnl"/>
        </w:rPr>
        <w:t>construção</w:t>
      </w:r>
      <w:proofErr w:type="spellEnd"/>
      <w:r>
        <w:rPr>
          <w:lang w:val="es-ES_tradnl"/>
        </w:rPr>
        <w:t xml:space="preserve"> do mundo, e, </w:t>
      </w:r>
      <w:proofErr w:type="spellStart"/>
      <w:r>
        <w:rPr>
          <w:lang w:val="es-ES_tradnl"/>
        </w:rPr>
        <w:t>além</w:t>
      </w:r>
      <w:proofErr w:type="spellEnd"/>
      <w:r>
        <w:rPr>
          <w:lang w:val="es-ES_tradnl"/>
        </w:rPr>
        <w:t xml:space="preserve"> </w:t>
      </w:r>
      <w:proofErr w:type="spellStart"/>
      <w:r>
        <w:rPr>
          <w:lang w:val="es-ES_tradnl"/>
        </w:rPr>
        <w:t>disso</w:t>
      </w:r>
      <w:proofErr w:type="spellEnd"/>
      <w:r>
        <w:rPr>
          <w:lang w:val="es-ES_tradnl"/>
        </w:rPr>
        <w:t xml:space="preserve">, </w:t>
      </w:r>
      <w:proofErr w:type="spellStart"/>
      <w:r>
        <w:rPr>
          <w:lang w:val="es-ES_tradnl"/>
        </w:rPr>
        <w:t>oferece</w:t>
      </w:r>
      <w:proofErr w:type="spellEnd"/>
      <w:r>
        <w:rPr>
          <w:lang w:val="es-ES_tradnl"/>
        </w:rPr>
        <w:t xml:space="preserve"> </w:t>
      </w:r>
      <w:proofErr w:type="spellStart"/>
      <w:r>
        <w:rPr>
          <w:lang w:val="es-ES_tradnl"/>
        </w:rPr>
        <w:t>vários</w:t>
      </w:r>
      <w:proofErr w:type="spellEnd"/>
      <w:r>
        <w:rPr>
          <w:lang w:val="es-ES_tradnl"/>
        </w:rPr>
        <w:t xml:space="preserve"> </w:t>
      </w:r>
      <w:proofErr w:type="spellStart"/>
      <w:r>
        <w:rPr>
          <w:lang w:val="es-ES_tradnl"/>
        </w:rPr>
        <w:t>outros</w:t>
      </w:r>
      <w:proofErr w:type="spellEnd"/>
      <w:r>
        <w:rPr>
          <w:lang w:val="es-ES_tradnl"/>
        </w:rPr>
        <w:t xml:space="preserve"> </w:t>
      </w:r>
      <w:proofErr w:type="spellStart"/>
      <w:r>
        <w:rPr>
          <w:lang w:val="es-ES_tradnl"/>
        </w:rPr>
        <w:t>produtos</w:t>
      </w:r>
      <w:proofErr w:type="spellEnd"/>
      <w:r>
        <w:rPr>
          <w:lang w:val="es-ES_tradnl"/>
        </w:rPr>
        <w:t xml:space="preserve"> de alta </w:t>
      </w:r>
      <w:proofErr w:type="spellStart"/>
      <w:r>
        <w:rPr>
          <w:lang w:val="es-ES_tradnl"/>
        </w:rPr>
        <w:t>qualidade</w:t>
      </w:r>
      <w:proofErr w:type="spellEnd"/>
      <w:r>
        <w:rPr>
          <w:lang w:val="es-ES_tradnl"/>
        </w:rPr>
        <w:t xml:space="preserve"> e orientados </w:t>
      </w:r>
      <w:proofErr w:type="spellStart"/>
      <w:r>
        <w:rPr>
          <w:lang w:val="es-ES_tradnl"/>
        </w:rPr>
        <w:t>ao</w:t>
      </w:r>
      <w:proofErr w:type="spellEnd"/>
      <w:r>
        <w:rPr>
          <w:lang w:val="es-ES_tradnl"/>
        </w:rPr>
        <w:t xml:space="preserve"> cliente. O Grupo engloba </w:t>
      </w:r>
      <w:proofErr w:type="spellStart"/>
      <w:r>
        <w:rPr>
          <w:lang w:val="es-ES_tradnl"/>
        </w:rPr>
        <w:t>hoje</w:t>
      </w:r>
      <w:proofErr w:type="spellEnd"/>
      <w:r>
        <w:rPr>
          <w:lang w:val="es-ES_tradnl"/>
        </w:rPr>
        <w:t xml:space="preserve"> </w:t>
      </w:r>
      <w:proofErr w:type="spellStart"/>
      <w:r>
        <w:rPr>
          <w:lang w:val="es-ES_tradnl"/>
        </w:rPr>
        <w:t>mais</w:t>
      </w:r>
      <w:proofErr w:type="spellEnd"/>
      <w:r>
        <w:rPr>
          <w:lang w:val="es-ES_tradnl"/>
        </w:rPr>
        <w:t xml:space="preserve"> de 140 empresas </w:t>
      </w:r>
      <w:proofErr w:type="spellStart"/>
      <w:r>
        <w:rPr>
          <w:lang w:val="es-ES_tradnl"/>
        </w:rPr>
        <w:t>em</w:t>
      </w:r>
      <w:proofErr w:type="spellEnd"/>
      <w:r>
        <w:rPr>
          <w:lang w:val="es-ES_tradnl"/>
        </w:rPr>
        <w:t xml:space="preserve"> todos os continentes, </w:t>
      </w:r>
      <w:proofErr w:type="spellStart"/>
      <w:r>
        <w:rPr>
          <w:lang w:val="es-ES_tradnl"/>
        </w:rPr>
        <w:t>emprega</w:t>
      </w:r>
      <w:proofErr w:type="spellEnd"/>
      <w:r>
        <w:rPr>
          <w:lang w:val="es-ES_tradnl"/>
        </w:rPr>
        <w:t xml:space="preserve"> </w:t>
      </w:r>
      <w:proofErr w:type="spellStart"/>
      <w:r>
        <w:rPr>
          <w:lang w:val="es-ES_tradnl"/>
        </w:rPr>
        <w:t>mais</w:t>
      </w:r>
      <w:proofErr w:type="spellEnd"/>
      <w:r>
        <w:rPr>
          <w:lang w:val="es-ES_tradnl"/>
        </w:rPr>
        <w:t xml:space="preserve"> de 49.000 colaboradores e </w:t>
      </w:r>
      <w:proofErr w:type="spellStart"/>
      <w:r>
        <w:rPr>
          <w:lang w:val="es-ES_tradnl"/>
        </w:rPr>
        <w:t>faturou</w:t>
      </w:r>
      <w:proofErr w:type="spellEnd"/>
      <w:r>
        <w:rPr>
          <w:lang w:val="es-ES_tradnl"/>
        </w:rPr>
        <w:t xml:space="preserve">, </w:t>
      </w:r>
      <w:proofErr w:type="spellStart"/>
      <w:r>
        <w:rPr>
          <w:lang w:val="es-ES_tradnl"/>
        </w:rPr>
        <w:t>em</w:t>
      </w:r>
      <w:proofErr w:type="spellEnd"/>
      <w:r>
        <w:rPr>
          <w:lang w:val="es-ES_tradnl"/>
        </w:rPr>
        <w:t xml:space="preserve"> 2021, </w:t>
      </w:r>
      <w:proofErr w:type="spellStart"/>
      <w:r>
        <w:rPr>
          <w:lang w:val="es-ES_tradnl"/>
        </w:rPr>
        <w:t>mais</w:t>
      </w:r>
      <w:proofErr w:type="spellEnd"/>
      <w:r>
        <w:rPr>
          <w:lang w:val="es-ES_tradnl"/>
        </w:rPr>
        <w:t xml:space="preserve"> de € 11,6 </w:t>
      </w:r>
      <w:proofErr w:type="spellStart"/>
      <w:r>
        <w:rPr>
          <w:lang w:val="es-ES_tradnl"/>
        </w:rPr>
        <w:t>bilhões</w:t>
      </w:r>
      <w:proofErr w:type="spellEnd"/>
      <w:r>
        <w:rPr>
          <w:lang w:val="es-ES_tradnl"/>
        </w:rPr>
        <w:t xml:space="preserve">. Desde </w:t>
      </w:r>
      <w:proofErr w:type="spellStart"/>
      <w:r>
        <w:rPr>
          <w:lang w:val="es-ES_tradnl"/>
        </w:rPr>
        <w:t>sua</w:t>
      </w:r>
      <w:proofErr w:type="spellEnd"/>
      <w:r>
        <w:rPr>
          <w:lang w:val="es-ES_tradnl"/>
        </w:rPr>
        <w:t xml:space="preserve"> </w:t>
      </w:r>
      <w:proofErr w:type="spellStart"/>
      <w:r>
        <w:rPr>
          <w:lang w:val="es-ES_tradnl"/>
        </w:rPr>
        <w:t>fundação</w:t>
      </w:r>
      <w:proofErr w:type="spellEnd"/>
      <w:r>
        <w:rPr>
          <w:lang w:val="es-ES_tradnl"/>
        </w:rPr>
        <w:t xml:space="preserve"> no ano de 1949, no </w:t>
      </w:r>
      <w:proofErr w:type="spellStart"/>
      <w:r>
        <w:rPr>
          <w:lang w:val="es-ES_tradnl"/>
        </w:rPr>
        <w:t>sul</w:t>
      </w:r>
      <w:proofErr w:type="spellEnd"/>
      <w:r>
        <w:rPr>
          <w:lang w:val="es-ES_tradnl"/>
        </w:rPr>
        <w:t xml:space="preserve"> da </w:t>
      </w:r>
      <w:proofErr w:type="spellStart"/>
      <w:r>
        <w:rPr>
          <w:lang w:val="es-ES_tradnl"/>
        </w:rPr>
        <w:t>Alemanha</w:t>
      </w:r>
      <w:proofErr w:type="spellEnd"/>
      <w:r>
        <w:rPr>
          <w:lang w:val="es-ES_tradnl"/>
        </w:rPr>
        <w:t xml:space="preserve">, </w:t>
      </w:r>
      <w:proofErr w:type="spellStart"/>
      <w:r>
        <w:rPr>
          <w:lang w:val="es-ES_tradnl"/>
        </w:rPr>
        <w:t>em</w:t>
      </w:r>
      <w:proofErr w:type="spellEnd"/>
      <w:r>
        <w:rPr>
          <w:lang w:val="es-ES_tradnl"/>
        </w:rPr>
        <w:t xml:space="preserve"> </w:t>
      </w:r>
      <w:proofErr w:type="spellStart"/>
      <w:r>
        <w:rPr>
          <w:lang w:val="es-ES_tradnl"/>
        </w:rPr>
        <w:t>Kirchdorf</w:t>
      </w:r>
      <w:proofErr w:type="spellEnd"/>
      <w:r>
        <w:rPr>
          <w:lang w:val="es-ES_tradnl"/>
        </w:rPr>
        <w:t xml:space="preserve"> </w:t>
      </w:r>
      <w:proofErr w:type="spellStart"/>
      <w:r>
        <w:rPr>
          <w:lang w:val="es-ES_tradnl"/>
        </w:rPr>
        <w:t>an</w:t>
      </w:r>
      <w:proofErr w:type="spellEnd"/>
      <w:r>
        <w:rPr>
          <w:lang w:val="es-ES_tradnl"/>
        </w:rPr>
        <w:t xml:space="preserve"> der </w:t>
      </w:r>
      <w:proofErr w:type="spellStart"/>
      <w:r>
        <w:rPr>
          <w:lang w:val="es-ES_tradnl"/>
        </w:rPr>
        <w:t>Iller</w:t>
      </w:r>
      <w:proofErr w:type="spellEnd"/>
      <w:r>
        <w:rPr>
          <w:lang w:val="es-ES_tradnl"/>
        </w:rPr>
        <w:t xml:space="preserve">, a Liebherr </w:t>
      </w:r>
      <w:proofErr w:type="spellStart"/>
      <w:r>
        <w:rPr>
          <w:lang w:val="es-ES_tradnl"/>
        </w:rPr>
        <w:t>tem</w:t>
      </w:r>
      <w:proofErr w:type="spellEnd"/>
      <w:r>
        <w:rPr>
          <w:lang w:val="es-ES_tradnl"/>
        </w:rPr>
        <w:t xml:space="preserve"> </w:t>
      </w:r>
      <w:proofErr w:type="spellStart"/>
      <w:r>
        <w:rPr>
          <w:lang w:val="es-ES_tradnl"/>
        </w:rPr>
        <w:t>o</w:t>
      </w:r>
      <w:proofErr w:type="spellEnd"/>
      <w:r>
        <w:rPr>
          <w:lang w:val="es-ES_tradnl"/>
        </w:rPr>
        <w:t xml:space="preserve"> objetivo de contribuir para a </w:t>
      </w:r>
      <w:proofErr w:type="spellStart"/>
      <w:r>
        <w:rPr>
          <w:lang w:val="es-ES_tradnl"/>
        </w:rPr>
        <w:t>inovação</w:t>
      </w:r>
      <w:proofErr w:type="spellEnd"/>
      <w:r>
        <w:rPr>
          <w:lang w:val="es-ES_tradnl"/>
        </w:rPr>
        <w:t xml:space="preserve"> tecnológica </w:t>
      </w:r>
      <w:proofErr w:type="spellStart"/>
      <w:r>
        <w:rPr>
          <w:lang w:val="es-ES_tradnl"/>
        </w:rPr>
        <w:t>trazendo</w:t>
      </w:r>
      <w:proofErr w:type="spellEnd"/>
      <w:r>
        <w:rPr>
          <w:lang w:val="es-ES_tradnl"/>
        </w:rPr>
        <w:t xml:space="preserve"> </w:t>
      </w:r>
      <w:proofErr w:type="spellStart"/>
      <w:r>
        <w:rPr>
          <w:lang w:val="es-ES_tradnl"/>
        </w:rPr>
        <w:t>soluções</w:t>
      </w:r>
      <w:proofErr w:type="spellEnd"/>
      <w:r>
        <w:rPr>
          <w:lang w:val="es-ES_tradnl"/>
        </w:rPr>
        <w:t xml:space="preserve"> </w:t>
      </w:r>
      <w:proofErr w:type="spellStart"/>
      <w:r>
        <w:rPr>
          <w:lang w:val="es-ES_tradnl"/>
        </w:rPr>
        <w:t>sem</w:t>
      </w:r>
      <w:proofErr w:type="spellEnd"/>
      <w:r>
        <w:rPr>
          <w:lang w:val="es-ES_tradnl"/>
        </w:rPr>
        <w:t xml:space="preserve"> paralelo na </w:t>
      </w:r>
      <w:proofErr w:type="spellStart"/>
      <w:r>
        <w:rPr>
          <w:lang w:val="es-ES_tradnl"/>
        </w:rPr>
        <w:t>indústria</w:t>
      </w:r>
      <w:proofErr w:type="spellEnd"/>
      <w:r>
        <w:rPr>
          <w:lang w:val="es-ES_tradnl"/>
        </w:rPr>
        <w:t xml:space="preserve"> para </w:t>
      </w:r>
      <w:proofErr w:type="spellStart"/>
      <w:r>
        <w:rPr>
          <w:lang w:val="es-ES_tradnl"/>
        </w:rPr>
        <w:t>seus</w:t>
      </w:r>
      <w:proofErr w:type="spellEnd"/>
      <w:r>
        <w:rPr>
          <w:lang w:val="es-ES_tradnl"/>
        </w:rPr>
        <w:t xml:space="preserve"> clientes.</w:t>
      </w:r>
    </w:p>
    <w:p w14:paraId="2AE23DC7" w14:textId="3C7A06FD" w:rsidR="009A3D17" w:rsidRPr="007E0886" w:rsidRDefault="007E7FC6" w:rsidP="00436FE9">
      <w:pPr>
        <w:pStyle w:val="Copyhead11Pt"/>
      </w:pPr>
      <w:r w:rsidRPr="007E0886">
        <w:t>Imagens</w:t>
      </w:r>
    </w:p>
    <w:p w14:paraId="32A643BD" w14:textId="458CB4AF" w:rsidR="001E632D" w:rsidRPr="007E0886" w:rsidRDefault="001E632D" w:rsidP="00436FE9">
      <w:pPr>
        <w:pStyle w:val="Copyhead11Pt"/>
      </w:pPr>
      <w:r w:rsidRPr="007E0886">
        <w:rPr>
          <w:noProof/>
          <w:lang w:val="de-DE"/>
        </w:rPr>
        <w:drawing>
          <wp:anchor distT="0" distB="0" distL="114300" distR="114300" simplePos="0" relativeHeight="251658240" behindDoc="0" locked="0" layoutInCell="1" allowOverlap="1" wp14:anchorId="003B7DCE" wp14:editId="304B9071">
            <wp:simplePos x="0" y="0"/>
            <wp:positionH relativeFrom="column">
              <wp:posOffset>38735</wp:posOffset>
            </wp:positionH>
            <wp:positionV relativeFrom="paragraph">
              <wp:posOffset>39370</wp:posOffset>
            </wp:positionV>
            <wp:extent cx="3028950" cy="1895475"/>
            <wp:effectExtent l="0" t="0" r="0" b="9525"/>
            <wp:wrapNone/>
            <wp:docPr id="620277830" name="Grafik 62027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8950" cy="1895475"/>
                    </a:xfrm>
                    <a:prstGeom prst="rect">
                      <a:avLst/>
                    </a:prstGeom>
                  </pic:spPr>
                </pic:pic>
              </a:graphicData>
            </a:graphic>
            <wp14:sizeRelH relativeFrom="page">
              <wp14:pctWidth>0</wp14:pctWidth>
            </wp14:sizeRelH>
            <wp14:sizeRelV relativeFrom="page">
              <wp14:pctHeight>0</wp14:pctHeight>
            </wp14:sizeRelV>
          </wp:anchor>
        </w:drawing>
      </w:r>
    </w:p>
    <w:p w14:paraId="4503C4A8" w14:textId="40317CC7" w:rsidR="001E632D" w:rsidRPr="007E0886" w:rsidRDefault="001E632D" w:rsidP="00436FE9">
      <w:pPr>
        <w:pStyle w:val="Copyhead11Pt"/>
      </w:pPr>
    </w:p>
    <w:p w14:paraId="68FBAE17" w14:textId="24C7C199" w:rsidR="001E632D" w:rsidRPr="007E0886" w:rsidRDefault="001E632D" w:rsidP="00436FE9">
      <w:pPr>
        <w:pStyle w:val="Copyhead11Pt"/>
      </w:pPr>
    </w:p>
    <w:p w14:paraId="1E5AE386" w14:textId="70A21BBE" w:rsidR="001E632D" w:rsidRPr="007E0886" w:rsidRDefault="001E632D" w:rsidP="00436FE9">
      <w:pPr>
        <w:pStyle w:val="Copyhead11Pt"/>
      </w:pPr>
    </w:p>
    <w:p w14:paraId="4AC4874E" w14:textId="6DFD8035" w:rsidR="001E632D" w:rsidRPr="007E0886" w:rsidRDefault="001E632D" w:rsidP="00436FE9">
      <w:pPr>
        <w:pStyle w:val="Copyhead11Pt"/>
      </w:pPr>
    </w:p>
    <w:p w14:paraId="4468C758" w14:textId="32C36DC9" w:rsidR="00436FE9" w:rsidRPr="007E0886" w:rsidRDefault="00436FE9" w:rsidP="009A3D17">
      <w:pPr>
        <w:rPr>
          <w:rFonts w:ascii="Arial" w:eastAsiaTheme="minorHAnsi" w:hAnsi="Arial" w:cs="Arial"/>
          <w:sz w:val="18"/>
          <w:szCs w:val="18"/>
        </w:rPr>
      </w:pPr>
      <w:proofErr w:type="gramStart"/>
      <w:r w:rsidRPr="007E0886">
        <w:rPr>
          <w:rFonts w:ascii="Arial" w:hAnsi="Arial"/>
          <w:sz w:val="18"/>
          <w:szCs w:val="18"/>
          <w:lang w:val="en-US" w:eastAsia="en-US"/>
        </w:rPr>
        <w:t>liebherr-bcm-for-more-safety.jpg</w:t>
      </w:r>
      <w:proofErr w:type="gramEnd"/>
    </w:p>
    <w:p w14:paraId="02B462D3" w14:textId="66BD87F3" w:rsidR="009A3D17" w:rsidRPr="007E0886" w:rsidRDefault="00436FE9" w:rsidP="009A3D17">
      <w:pPr>
        <w:rPr>
          <w:rFonts w:ascii="Arial" w:eastAsiaTheme="minorHAnsi" w:hAnsi="Arial" w:cs="Arial"/>
          <w:sz w:val="18"/>
          <w:szCs w:val="18"/>
        </w:rPr>
      </w:pPr>
      <w:r w:rsidRPr="007E0886">
        <w:rPr>
          <w:rFonts w:ascii="Arial" w:hAnsi="Arial"/>
          <w:sz w:val="18"/>
          <w:szCs w:val="18"/>
        </w:rPr>
        <w:t>A zona perigosa da escavadeira está localizada diretamente no ponto onde o pessoal da manutenção acoplou o dispositivo de medição durante uma medição manual.</w:t>
      </w:r>
    </w:p>
    <w:p w14:paraId="240B7EE0" w14:textId="2473A948" w:rsidR="00FB1E5E" w:rsidRPr="007E0886" w:rsidRDefault="56AABC04" w:rsidP="56AABC04">
      <w:pPr>
        <w:pStyle w:val="Caption9Pt"/>
        <w:rPr>
          <w:rFonts w:eastAsia="Calibri"/>
        </w:rPr>
      </w:pPr>
      <w:r w:rsidRPr="007E0886">
        <w:rPr>
          <w:noProof/>
          <w:lang w:val="de-DE" w:eastAsia="de-DE"/>
        </w:rPr>
        <w:lastRenderedPageBreak/>
        <w:drawing>
          <wp:inline distT="0" distB="0" distL="0" distR="0" wp14:anchorId="0EF2AE39" wp14:editId="11F13474">
            <wp:extent cx="3009900" cy="1881188"/>
            <wp:effectExtent l="0" t="0" r="0" b="0"/>
            <wp:docPr id="1847938155" name="Grafik 1847938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9900" cy="1881188"/>
                    </a:xfrm>
                    <a:prstGeom prst="rect">
                      <a:avLst/>
                    </a:prstGeom>
                  </pic:spPr>
                </pic:pic>
              </a:graphicData>
            </a:graphic>
          </wp:inline>
        </w:drawing>
      </w:r>
    </w:p>
    <w:p w14:paraId="1942110A" w14:textId="77777777" w:rsidR="007E1587" w:rsidRPr="007E0886" w:rsidRDefault="00E856F3" w:rsidP="007E1587">
      <w:pPr>
        <w:pStyle w:val="Caption9Pt"/>
      </w:pPr>
      <w:r w:rsidRPr="007E0886">
        <w:t>liebherr-bcm-solution.jpg</w:t>
      </w:r>
      <w:r w:rsidRPr="007E0886">
        <w:br/>
        <w:t>É assim que o sistema de monitoramento de distância da Liebherr funciona.</w:t>
      </w:r>
    </w:p>
    <w:p w14:paraId="6F98FF0F" w14:textId="77777777" w:rsidR="007E1587" w:rsidRPr="007E0886" w:rsidRDefault="007E1587" w:rsidP="007E1587">
      <w:pPr>
        <w:pStyle w:val="Copyhead11Pt"/>
      </w:pPr>
    </w:p>
    <w:p w14:paraId="49504890" w14:textId="0A295B1C" w:rsidR="008D70BE" w:rsidRPr="007E0886" w:rsidRDefault="00A64335" w:rsidP="00BC7A6B">
      <w:pPr>
        <w:pStyle w:val="Copyhead11Pt"/>
        <w:spacing w:after="0"/>
      </w:pPr>
      <w:r w:rsidRPr="007E0886">
        <w:t>Pessoa de contato</w:t>
      </w:r>
    </w:p>
    <w:p w14:paraId="27FC9F25" w14:textId="2284C67C" w:rsidR="008D70BE" w:rsidRPr="007E0886" w:rsidRDefault="004A5343" w:rsidP="00BC7A6B">
      <w:pPr>
        <w:pStyle w:val="Copytext11Pt"/>
        <w:spacing w:after="0"/>
      </w:pPr>
      <w:r w:rsidRPr="007E0886">
        <w:t>Alexandra Nolde</w:t>
      </w:r>
      <w:r w:rsidRPr="007E0886">
        <w:br/>
        <w:t>Especialista Sênior de Comunicação e Mídia</w:t>
      </w:r>
      <w:r w:rsidRPr="007E0886">
        <w:br/>
        <w:t>Telefone: +41 56 296 4326</w:t>
      </w:r>
      <w:r w:rsidRPr="007E0886">
        <w:br/>
        <w:t>E-mail: alexandra.nolde@liebherr.com</w:t>
      </w:r>
    </w:p>
    <w:p w14:paraId="7F940BFA" w14:textId="77777777" w:rsidR="00BC7A6B" w:rsidRDefault="00BC7A6B" w:rsidP="008D70BE">
      <w:pPr>
        <w:pStyle w:val="Copyhead11Pt"/>
      </w:pPr>
    </w:p>
    <w:p w14:paraId="21721853" w14:textId="522C10F9" w:rsidR="008D70BE" w:rsidRPr="007E0886" w:rsidRDefault="008D70BE" w:rsidP="00BC7A6B">
      <w:pPr>
        <w:pStyle w:val="Copyhead11Pt"/>
        <w:spacing w:after="0"/>
      </w:pPr>
      <w:r w:rsidRPr="007E0886">
        <w:t>Publicado por</w:t>
      </w:r>
    </w:p>
    <w:p w14:paraId="026D82AE" w14:textId="3EC7833F" w:rsidR="007E1587" w:rsidRPr="007E0886" w:rsidRDefault="00AF113A" w:rsidP="00BC7A6B">
      <w:pPr>
        <w:pStyle w:val="Copytext11Pt"/>
        <w:spacing w:after="0"/>
        <w:rPr>
          <w:rStyle w:val="Hyperlink"/>
        </w:rPr>
      </w:pPr>
      <w:r w:rsidRPr="007E0886">
        <w:t>Liebherr-Components AG</w:t>
      </w:r>
      <w:r w:rsidRPr="007E0886">
        <w:br/>
        <w:t>Nussbaumen / Suíça</w:t>
      </w:r>
      <w:r w:rsidRPr="007E0886">
        <w:br/>
      </w:r>
      <w:hyperlink r:id="rId13" w:history="1">
        <w:r w:rsidRPr="007E0886">
          <w:rPr>
            <w:rStyle w:val="Hyperlink"/>
          </w:rPr>
          <w:t>www.liebherr.com/components-bearing-condition-monitoring</w:t>
        </w:r>
      </w:hyperlink>
      <w:bookmarkStart w:id="0" w:name="_GoBack"/>
      <w:bookmarkEnd w:id="0"/>
    </w:p>
    <w:p w14:paraId="15553AB2" w14:textId="36CD70CF" w:rsidR="00A50E52" w:rsidRPr="007E0886" w:rsidRDefault="00A50E52" w:rsidP="00A50E52">
      <w:pPr>
        <w:pStyle w:val="Copytext11Pt"/>
        <w:spacing w:after="0"/>
      </w:pPr>
    </w:p>
    <w:sectPr w:rsidR="00A50E52" w:rsidRPr="007E088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CB083" w14:textId="77777777" w:rsidR="002854E5" w:rsidRDefault="002854E5" w:rsidP="00B81ED6">
      <w:pPr>
        <w:spacing w:after="0" w:line="240" w:lineRule="auto"/>
      </w:pPr>
      <w:r>
        <w:separator/>
      </w:r>
    </w:p>
  </w:endnote>
  <w:endnote w:type="continuationSeparator" w:id="0">
    <w:p w14:paraId="7EA12F9F" w14:textId="77777777" w:rsidR="002854E5" w:rsidRDefault="002854E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等线 Light">
    <w:altName w:val="Microsoft YaHei"/>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E875B" w14:textId="4084DF9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C7A6B">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C7A6B">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C7A6B">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BC7A6B">
      <w:rPr>
        <w:rFonts w:ascii="Arial" w:hAnsi="Arial" w:cs="Arial"/>
      </w:rPr>
      <w:fldChar w:fldCharType="separate"/>
    </w:r>
    <w:r w:rsidR="00BC7A6B">
      <w:rPr>
        <w:rFonts w:ascii="Arial" w:hAnsi="Arial" w:cs="Arial"/>
        <w:noProof/>
      </w:rPr>
      <w:t>2</w:t>
    </w:r>
    <w:r w:rsidR="00BC7A6B" w:rsidRPr="0093605C">
      <w:rPr>
        <w:rFonts w:ascii="Arial" w:hAnsi="Arial" w:cs="Arial"/>
        <w:noProof/>
      </w:rPr>
      <w:t>/</w:t>
    </w:r>
    <w:r w:rsidR="00BC7A6B">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1530C" w14:textId="77777777" w:rsidR="002854E5" w:rsidRDefault="002854E5" w:rsidP="00B81ED6">
      <w:pPr>
        <w:spacing w:after="0" w:line="240" w:lineRule="auto"/>
      </w:pPr>
      <w:r>
        <w:separator/>
      </w:r>
    </w:p>
  </w:footnote>
  <w:footnote w:type="continuationSeparator" w:id="0">
    <w:p w14:paraId="2A278563" w14:textId="77777777" w:rsidR="002854E5" w:rsidRDefault="002854E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00AE6" w14:textId="77777777" w:rsidR="00E847CC" w:rsidRDefault="00E847CC">
    <w:pPr>
      <w:pStyle w:val="Kopfzeile"/>
    </w:pPr>
    <w:r>
      <w:tab/>
    </w:r>
    <w:r>
      <w:tab/>
    </w:r>
    <w:r>
      <w:ptab w:relativeTo="margin" w:alignment="right" w:leader="none"/>
    </w:r>
    <w:r>
      <w:rPr>
        <w:noProof/>
        <w:lang w:val="de-DE" w:eastAsia="de-DE"/>
      </w:rPr>
      <w:drawing>
        <wp:inline distT="0" distB="0" distL="0" distR="0" wp14:anchorId="66E80D6A" wp14:editId="6F579C3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A0EE383"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1786"/>
    <w:rsid w:val="00033002"/>
    <w:rsid w:val="00066E54"/>
    <w:rsid w:val="000B4E97"/>
    <w:rsid w:val="001419B4"/>
    <w:rsid w:val="00145DB7"/>
    <w:rsid w:val="00194D30"/>
    <w:rsid w:val="001E632D"/>
    <w:rsid w:val="00234F7A"/>
    <w:rsid w:val="00250372"/>
    <w:rsid w:val="002854E5"/>
    <w:rsid w:val="002B3F9E"/>
    <w:rsid w:val="00327624"/>
    <w:rsid w:val="003524D2"/>
    <w:rsid w:val="0037389B"/>
    <w:rsid w:val="003936A6"/>
    <w:rsid w:val="003D25B1"/>
    <w:rsid w:val="003D42A4"/>
    <w:rsid w:val="003E1C44"/>
    <w:rsid w:val="004079F0"/>
    <w:rsid w:val="00436FE9"/>
    <w:rsid w:val="00451BB2"/>
    <w:rsid w:val="00463326"/>
    <w:rsid w:val="004708EB"/>
    <w:rsid w:val="00492D3B"/>
    <w:rsid w:val="004932AF"/>
    <w:rsid w:val="004A5343"/>
    <w:rsid w:val="00555746"/>
    <w:rsid w:val="00556698"/>
    <w:rsid w:val="00566A67"/>
    <w:rsid w:val="005868E7"/>
    <w:rsid w:val="00652E53"/>
    <w:rsid w:val="007B1AEF"/>
    <w:rsid w:val="007C2DD9"/>
    <w:rsid w:val="007E0886"/>
    <w:rsid w:val="007E1587"/>
    <w:rsid w:val="007E7FC6"/>
    <w:rsid w:val="007F2586"/>
    <w:rsid w:val="00824226"/>
    <w:rsid w:val="008B10DC"/>
    <w:rsid w:val="008D70BE"/>
    <w:rsid w:val="009169F9"/>
    <w:rsid w:val="0093605C"/>
    <w:rsid w:val="00965077"/>
    <w:rsid w:val="00974245"/>
    <w:rsid w:val="009A3D17"/>
    <w:rsid w:val="009B130E"/>
    <w:rsid w:val="009D5C17"/>
    <w:rsid w:val="00A01AF9"/>
    <w:rsid w:val="00A40241"/>
    <w:rsid w:val="00A50E52"/>
    <w:rsid w:val="00A64335"/>
    <w:rsid w:val="00A94959"/>
    <w:rsid w:val="00AC2129"/>
    <w:rsid w:val="00AF113A"/>
    <w:rsid w:val="00AF1F99"/>
    <w:rsid w:val="00AF789A"/>
    <w:rsid w:val="00B139D2"/>
    <w:rsid w:val="00B55529"/>
    <w:rsid w:val="00B66D75"/>
    <w:rsid w:val="00B81ED6"/>
    <w:rsid w:val="00BB0BFF"/>
    <w:rsid w:val="00BC7A6B"/>
    <w:rsid w:val="00BD0270"/>
    <w:rsid w:val="00BD7045"/>
    <w:rsid w:val="00BF35CA"/>
    <w:rsid w:val="00C464EC"/>
    <w:rsid w:val="00C62207"/>
    <w:rsid w:val="00C77574"/>
    <w:rsid w:val="00CC64B3"/>
    <w:rsid w:val="00D82EAE"/>
    <w:rsid w:val="00DA3D06"/>
    <w:rsid w:val="00DF40C0"/>
    <w:rsid w:val="00E260E6"/>
    <w:rsid w:val="00E32363"/>
    <w:rsid w:val="00E435BA"/>
    <w:rsid w:val="00E57DEB"/>
    <w:rsid w:val="00E847CC"/>
    <w:rsid w:val="00E856F3"/>
    <w:rsid w:val="00EA26F3"/>
    <w:rsid w:val="00EF1DB7"/>
    <w:rsid w:val="00F654C7"/>
    <w:rsid w:val="00F77814"/>
    <w:rsid w:val="00FB1E5E"/>
    <w:rsid w:val="00FF1750"/>
    <w:rsid w:val="56AABC04"/>
    <w:rsid w:val="7116984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4A121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pt-B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pt-B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pt-B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pt-BR" w:eastAsia="de-DE"/>
    </w:rPr>
  </w:style>
  <w:style w:type="character" w:customStyle="1" w:styleId="Teaser11PtZchn">
    <w:name w:val="Teaser 11Pt Zchn"/>
    <w:basedOn w:val="Absatz-Standardschriftart"/>
    <w:link w:val="Teaser11Pt"/>
    <w:rsid w:val="00B81ED6"/>
    <w:rPr>
      <w:rFonts w:ascii="Arial" w:hAnsi="Arial"/>
      <w:b/>
      <w:noProof/>
      <w:lang w:val="pt-B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pt-B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pt-B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pt-B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pt-BR" w:eastAsia="en-US"/>
    </w:rPr>
  </w:style>
  <w:style w:type="paragraph" w:styleId="Sprechblasentext">
    <w:name w:val="Balloon Text"/>
    <w:basedOn w:val="Standard"/>
    <w:link w:val="SprechblasentextZchn"/>
    <w:uiPriority w:val="99"/>
    <w:semiHidden/>
    <w:unhideWhenUsed/>
    <w:rsid w:val="00DA3D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3D06"/>
    <w:rPr>
      <w:rFonts w:ascii="Segoe UI" w:hAnsi="Segoe UI" w:cs="Segoe UI"/>
      <w:sz w:val="18"/>
      <w:szCs w:val="18"/>
    </w:rPr>
  </w:style>
  <w:style w:type="character" w:styleId="Kommentarzeichen">
    <w:name w:val="annotation reference"/>
    <w:basedOn w:val="Absatz-Standardschriftart"/>
    <w:uiPriority w:val="99"/>
    <w:semiHidden/>
    <w:unhideWhenUsed/>
    <w:rsid w:val="000B4E97"/>
    <w:rPr>
      <w:sz w:val="16"/>
      <w:szCs w:val="16"/>
    </w:rPr>
  </w:style>
  <w:style w:type="paragraph" w:styleId="Kommentartext">
    <w:name w:val="annotation text"/>
    <w:basedOn w:val="Standard"/>
    <w:link w:val="KommentartextZchn"/>
    <w:uiPriority w:val="99"/>
    <w:semiHidden/>
    <w:unhideWhenUsed/>
    <w:rsid w:val="000B4E9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4E97"/>
    <w:rPr>
      <w:sz w:val="20"/>
      <w:szCs w:val="20"/>
    </w:rPr>
  </w:style>
  <w:style w:type="paragraph" w:styleId="Kommentarthema">
    <w:name w:val="annotation subject"/>
    <w:basedOn w:val="Kommentartext"/>
    <w:next w:val="Kommentartext"/>
    <w:link w:val="KommentarthemaZchn"/>
    <w:uiPriority w:val="99"/>
    <w:semiHidden/>
    <w:unhideWhenUsed/>
    <w:rsid w:val="000B4E97"/>
    <w:rPr>
      <w:b/>
      <w:bCs/>
    </w:rPr>
  </w:style>
  <w:style w:type="character" w:customStyle="1" w:styleId="KommentarthemaZchn">
    <w:name w:val="Kommentarthema Zchn"/>
    <w:basedOn w:val="KommentartextZchn"/>
    <w:link w:val="Kommentarthema"/>
    <w:uiPriority w:val="99"/>
    <w:semiHidden/>
    <w:rsid w:val="000B4E97"/>
    <w:rPr>
      <w:b/>
      <w:bCs/>
      <w:sz w:val="20"/>
      <w:szCs w:val="20"/>
    </w:rPr>
  </w:style>
  <w:style w:type="character" w:styleId="BesuchterLink">
    <w:name w:val="FollowedHyperlink"/>
    <w:basedOn w:val="Absatz-Standardschriftart"/>
    <w:uiPriority w:val="99"/>
    <w:semiHidden/>
    <w:unhideWhenUsed/>
    <w:rsid w:val="007E15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1717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components-bearing-condition-monito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2C79E457B104DB953EE632BDCEF77" ma:contentTypeVersion="8" ma:contentTypeDescription="Create a new document." ma:contentTypeScope="" ma:versionID="1c0493fabcdcd2b59f8443b9b0212404">
  <xsd:schema xmlns:xsd="http://www.w3.org/2001/XMLSchema" xmlns:xs="http://www.w3.org/2001/XMLSchema" xmlns:p="http://schemas.microsoft.com/office/2006/metadata/properties" xmlns:ns2="0bc41ae2-c949-4b9b-80dc-37b472e7e38b" targetNamespace="http://schemas.microsoft.com/office/2006/metadata/properties" ma:root="true" ma:fieldsID="c32148f91b09116c7abf365458fc77c3" ns2:_="">
    <xsd:import namespace="0bc41ae2-c949-4b9b-80dc-37b472e7e3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41ae2-c949-4b9b-80dc-37b472e7e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C2B7-EB22-407F-A6A4-E9F478707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41ae2-c949-4b9b-80dc-37b472e7e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9E959-2C40-4222-AFC9-F6C0A0911E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139EAF-0E57-498B-85C7-CC4D886AE3A1}">
  <ds:schemaRefs>
    <ds:schemaRef ds:uri="http://schemas.microsoft.com/sharepoint/v3/contenttype/forms"/>
  </ds:schemaRefs>
</ds:datastoreItem>
</file>

<file path=customXml/itemProps4.xml><?xml version="1.0" encoding="utf-8"?>
<ds:datastoreItem xmlns:ds="http://schemas.openxmlformats.org/officeDocument/2006/customXml" ds:itemID="{2C98F8BB-329A-4823-A368-DC3F2EC9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4602</Characters>
  <Application>Microsoft Office Word</Application>
  <DocSecurity>0</DocSecurity>
  <Lines>38</Lines>
  <Paragraphs>10</Paragraphs>
  <ScaleCrop>false</ScaleCrop>
  <Company>Liebherr</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Nolde Alexandra (COS)</cp:lastModifiedBy>
  <cp:revision>5</cp:revision>
  <dcterms:created xsi:type="dcterms:W3CDTF">2022-06-02T13:57:00Z</dcterms:created>
  <dcterms:modified xsi:type="dcterms:W3CDTF">2022-06-09T14:12:00Z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0x010100F762C79E457B104DB953EE632BDCEF77</vt:lpwstr>
  </property>
</Properties>
</file>