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C8829" w14:textId="77777777" w:rsidR="00F62892" w:rsidRPr="00D67827" w:rsidRDefault="00E847CC" w:rsidP="00E847CC">
      <w:pPr>
        <w:pStyle w:val="Topline16Pt"/>
      </w:pPr>
      <w:r w:rsidRPr="00D67827">
        <w:t>Comunicato stampa</w:t>
      </w:r>
    </w:p>
    <w:p w14:paraId="54A04BD5" w14:textId="6FF5F0D6" w:rsidR="00E847CC" w:rsidRPr="00D67827" w:rsidRDefault="00194B16" w:rsidP="00F26DB5">
      <w:pPr>
        <w:pStyle w:val="HeadlineH233Pt"/>
        <w:rPr>
          <w:rFonts w:cs="Arial"/>
        </w:rPr>
      </w:pPr>
      <w:r w:rsidRPr="00D67827">
        <w:t xml:space="preserve">Zero emission, full power: </w:t>
      </w:r>
      <w:r w:rsidR="00BB3886" w:rsidRPr="00D67827">
        <w:t>Autogrù</w:t>
      </w:r>
      <w:r w:rsidRPr="00D67827">
        <w:t xml:space="preserve"> Liebherr</w:t>
      </w:r>
      <w:r w:rsidR="00E76AC6">
        <w:t> </w:t>
      </w:r>
      <w:r w:rsidRPr="00D67827">
        <w:t xml:space="preserve">LTC 1050-3.1 con </w:t>
      </w:r>
      <w:r w:rsidR="003241EF" w:rsidRPr="00D67827">
        <w:t>impiego</w:t>
      </w:r>
      <w:r w:rsidR="00A332B4" w:rsidRPr="00D67827">
        <w:t xml:space="preserve"> in modalità elettrica</w:t>
      </w:r>
    </w:p>
    <w:p w14:paraId="248A1A66" w14:textId="77777777" w:rsidR="00B81ED6" w:rsidRPr="00D67827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D67827">
        <w:rPr>
          <w:rFonts w:ascii="Tahoma" w:hAnsi="Tahoma"/>
        </w:rPr>
        <w:t>⸺</w:t>
      </w:r>
    </w:p>
    <w:p w14:paraId="612383BC" w14:textId="5D3706E9" w:rsidR="00827B5A" w:rsidRPr="00D67827" w:rsidRDefault="001546CA" w:rsidP="00827B5A">
      <w:pPr>
        <w:pStyle w:val="Bulletpoints11Pt"/>
      </w:pPr>
      <w:r w:rsidRPr="00D67827">
        <w:t>Gru compatta Liebherr da 50 tonnellate con</w:t>
      </w:r>
      <w:r w:rsidRPr="00D67827">
        <w:rPr>
          <w:strike/>
        </w:rPr>
        <w:t xml:space="preserve"> </w:t>
      </w:r>
      <w:r w:rsidR="003241EF" w:rsidRPr="00D67827">
        <w:t>impiego</w:t>
      </w:r>
      <w:r w:rsidR="004946B6" w:rsidRPr="00D67827">
        <w:t xml:space="preserve"> in </w:t>
      </w:r>
      <w:r w:rsidR="00A332B4" w:rsidRPr="00D67827">
        <w:t xml:space="preserve">modalità elettrica </w:t>
      </w:r>
      <w:r w:rsidRPr="00D67827">
        <w:t>supplementare</w:t>
      </w:r>
    </w:p>
    <w:p w14:paraId="2A81A47B" w14:textId="50D1BCE4" w:rsidR="0088513F" w:rsidRPr="00D67827" w:rsidRDefault="00100072" w:rsidP="00827B5A">
      <w:pPr>
        <w:pStyle w:val="Bulletpoints11Pt"/>
      </w:pPr>
      <w:r w:rsidRPr="00D67827">
        <w:t xml:space="preserve">Impieghi </w:t>
      </w:r>
      <w:r w:rsidR="001546CA" w:rsidRPr="00D67827">
        <w:t>della gru alimentat</w:t>
      </w:r>
      <w:r w:rsidRPr="00D67827">
        <w:t>i</w:t>
      </w:r>
      <w:r w:rsidR="001546CA" w:rsidRPr="00D67827">
        <w:t xml:space="preserve"> da un motore a combustione o da un motore elettrico</w:t>
      </w:r>
    </w:p>
    <w:p w14:paraId="4A8FCCB6" w14:textId="77777777" w:rsidR="000579DD" w:rsidRPr="00D67827" w:rsidRDefault="001546CA" w:rsidP="00827B5A">
      <w:pPr>
        <w:pStyle w:val="Bulletpoints11Pt"/>
      </w:pPr>
      <w:r w:rsidRPr="00D67827">
        <w:t>Piena potenza anche in modalità elettrica</w:t>
      </w:r>
    </w:p>
    <w:p w14:paraId="58885927" w14:textId="7C6AEB7E" w:rsidR="00AA2DE5" w:rsidRPr="00D67827" w:rsidRDefault="00833BB1" w:rsidP="00F42F74">
      <w:pPr>
        <w:pStyle w:val="Teaser11Pt"/>
        <w:rPr>
          <w:rFonts w:cs="Arial"/>
        </w:rPr>
      </w:pPr>
      <w:r w:rsidRPr="00D67827">
        <w:t xml:space="preserve">L'avanzare del cambiamento climatico richiede, anche nell'industria edilizia, </w:t>
      </w:r>
      <w:r w:rsidR="002611F4" w:rsidRPr="00D67827">
        <w:t xml:space="preserve">motorizzazioni </w:t>
      </w:r>
      <w:r w:rsidRPr="00D67827">
        <w:t xml:space="preserve">in grado di ridurre le emissioni di gas serra. Per soddisfare al meglio i requisiti dei clienti e l’esigenza di compatibilità ambientale, Liebherr sta lavorando su </w:t>
      </w:r>
      <w:r w:rsidR="002611F4" w:rsidRPr="00D67827">
        <w:t xml:space="preserve">motori </w:t>
      </w:r>
      <w:r w:rsidRPr="00D67827">
        <w:t>alternativi che si adattino in modo ottimale al campo di applicazione e al luogo di utilizzo della macchina. La nuova gru compatta LTC</w:t>
      </w:r>
      <w:r w:rsidR="00E76AC6">
        <w:t> </w:t>
      </w:r>
      <w:r w:rsidRPr="00D67827">
        <w:t xml:space="preserve">1050-3.1 dello stabilimento Liebherr di Ehingen è dotata di un motore elettrico, oltre che </w:t>
      </w:r>
      <w:r w:rsidR="00F76647" w:rsidRPr="00D67827">
        <w:t xml:space="preserve">di un motore </w:t>
      </w:r>
      <w:r w:rsidRPr="00D67827">
        <w:t xml:space="preserve">tradizionale. </w:t>
      </w:r>
      <w:r w:rsidR="00320E80" w:rsidRPr="00D67827">
        <w:t xml:space="preserve">Le movimentazioni </w:t>
      </w:r>
      <w:r w:rsidRPr="00D67827">
        <w:t xml:space="preserve">possono quindi </w:t>
      </w:r>
      <w:r w:rsidR="009C0CA8" w:rsidRPr="00D67827">
        <w:t>alternativamente</w:t>
      </w:r>
      <w:r w:rsidRPr="00D67827">
        <w:t xml:space="preserve"> essere eseguiti anche </w:t>
      </w:r>
      <w:r w:rsidR="00320E80" w:rsidRPr="00D67827">
        <w:t xml:space="preserve">in modalità </w:t>
      </w:r>
      <w:r w:rsidRPr="00D67827">
        <w:t>elettrica. La nuova versione della gru compatta da 50</w:t>
      </w:r>
      <w:r w:rsidR="00E76AC6">
        <w:t> </w:t>
      </w:r>
      <w:r w:rsidRPr="00D67827">
        <w:t>tonnellate contribuisce così alla riduzione di CO</w:t>
      </w:r>
      <w:r w:rsidRPr="00D67827">
        <w:rPr>
          <w:vertAlign w:val="subscript"/>
        </w:rPr>
        <w:t>2</w:t>
      </w:r>
      <w:r w:rsidRPr="00D67827">
        <w:t xml:space="preserve"> e soddisfa i requisiti per </w:t>
      </w:r>
      <w:r w:rsidR="00582B15" w:rsidRPr="00D67827">
        <w:t xml:space="preserve">l’impiego </w:t>
      </w:r>
      <w:r w:rsidRPr="00D67827">
        <w:t>nei cantieri "Zero Emission</w:t>
      </w:r>
      <w:r w:rsidR="000340D0" w:rsidRPr="00D67827">
        <w:t>".</w:t>
      </w:r>
    </w:p>
    <w:p w14:paraId="01D11F70" w14:textId="33355765" w:rsidR="001637C0" w:rsidRPr="00D67827" w:rsidRDefault="00EA5C5F" w:rsidP="00F42F74">
      <w:pPr>
        <w:pStyle w:val="Copytext11Pt"/>
        <w:rPr>
          <w:rFonts w:cs="Arial"/>
        </w:rPr>
      </w:pPr>
      <w:r>
        <w:t>Ehingen (Donau) (Germania), 6</w:t>
      </w:r>
      <w:bookmarkStart w:id="0" w:name="_GoBack"/>
      <w:bookmarkEnd w:id="0"/>
      <w:r w:rsidR="0088513F" w:rsidRPr="00D67827">
        <w:t xml:space="preserve"> aprile 2022 - Liebherr ha sviluppato </w:t>
      </w:r>
      <w:r w:rsidR="009C0CA8" w:rsidRPr="00D67827">
        <w:t xml:space="preserve">il motore </w:t>
      </w:r>
      <w:r w:rsidR="0088513F" w:rsidRPr="00D67827">
        <w:t xml:space="preserve">elettrico </w:t>
      </w:r>
      <w:r w:rsidR="00580276" w:rsidRPr="00D67827">
        <w:t xml:space="preserve">per l’impiego </w:t>
      </w:r>
      <w:r w:rsidR="0088513F" w:rsidRPr="00D67827">
        <w:t>della LTC</w:t>
      </w:r>
      <w:r w:rsidR="00E76AC6">
        <w:t> </w:t>
      </w:r>
      <w:r w:rsidR="0088513F" w:rsidRPr="00D67827">
        <w:t>1050-3.1 fedele al motto "Zero emission</w:t>
      </w:r>
      <w:r w:rsidR="00612AF8" w:rsidRPr="00D67827">
        <w:t>i</w:t>
      </w:r>
      <w:r w:rsidR="0088513F" w:rsidRPr="00D67827">
        <w:t xml:space="preserve">, </w:t>
      </w:r>
      <w:r w:rsidR="00B16BE2" w:rsidRPr="00D67827">
        <w:t>full power</w:t>
      </w:r>
      <w:r w:rsidR="0088513F" w:rsidRPr="00D67827">
        <w:t xml:space="preserve">". Il dott. Ulrich Hamme, direttore tecnico di Liebherr-Werk Ehingen GmbH, spiega: "Vogliamo offrire ai nostri clienti tutte le prestazioni della gru anche </w:t>
      </w:r>
      <w:r w:rsidR="00D17A80" w:rsidRPr="00D67827">
        <w:t>in modalità elettrica</w:t>
      </w:r>
      <w:r w:rsidR="0088513F" w:rsidRPr="00D67827">
        <w:t>. Come prima, la LTC</w:t>
      </w:r>
      <w:r w:rsidR="00E76AC6">
        <w:t> </w:t>
      </w:r>
      <w:r w:rsidR="0088513F" w:rsidRPr="00D67827">
        <w:t xml:space="preserve">1050-3.1 sarà equipaggiata con un motore a combustione, con carburante diesel o </w:t>
      </w:r>
      <w:r w:rsidR="00032176" w:rsidRPr="00D67827">
        <w:t xml:space="preserve">biocarburante </w:t>
      </w:r>
      <w:r w:rsidR="0088513F" w:rsidRPr="00D67827">
        <w:t xml:space="preserve">HVO, per la guida su strada e il funzionamento della gru stessa. Tuttavia, potrà essere </w:t>
      </w:r>
      <w:r w:rsidR="00BF0C73" w:rsidRPr="00D67827">
        <w:t>impiegata in modalità elettrica</w:t>
      </w:r>
      <w:r w:rsidR="0014347A" w:rsidRPr="00D67827">
        <w:t>, in conformità</w:t>
      </w:r>
      <w:r w:rsidR="00BF0C73" w:rsidRPr="00D67827">
        <w:t xml:space="preserve"> </w:t>
      </w:r>
      <w:r w:rsidR="0088513F" w:rsidRPr="00D67827">
        <w:t xml:space="preserve">al motto “Zero Emission”. Tutte le caratteristiche d'uso precedenti </w:t>
      </w:r>
      <w:r w:rsidR="0014347A" w:rsidRPr="00D67827">
        <w:t xml:space="preserve">dell’autogrù </w:t>
      </w:r>
      <w:r w:rsidR="0088513F" w:rsidRPr="00D67827">
        <w:t xml:space="preserve">vengono quindi mantenute, indipendentemente dal fatto che si operi in modalità </w:t>
      </w:r>
      <w:r w:rsidR="005E4BB3" w:rsidRPr="00D67827">
        <w:t>elettrica o tradizionale."</w:t>
      </w:r>
    </w:p>
    <w:p w14:paraId="4EAFBF3D" w14:textId="0EE81291" w:rsidR="003B5F58" w:rsidRPr="00D67827" w:rsidRDefault="003B5F58" w:rsidP="00F42F74">
      <w:pPr>
        <w:pStyle w:val="Copyhead11Pt"/>
        <w:rPr>
          <w:rFonts w:cs="Arial"/>
        </w:rPr>
      </w:pPr>
      <w:r w:rsidRPr="00D67827">
        <w:t xml:space="preserve">Massima flessibilità per </w:t>
      </w:r>
      <w:r w:rsidR="00787794" w:rsidRPr="00D67827">
        <w:t xml:space="preserve">la più alta </w:t>
      </w:r>
      <w:r w:rsidRPr="00D67827">
        <w:t xml:space="preserve">compatibilità ambientale e il </w:t>
      </w:r>
      <w:r w:rsidR="00787794" w:rsidRPr="00D67827">
        <w:t xml:space="preserve">maggior </w:t>
      </w:r>
      <w:r w:rsidRPr="00D67827">
        <w:t xml:space="preserve">vantaggio per il cliente </w:t>
      </w:r>
    </w:p>
    <w:p w14:paraId="47485FCD" w14:textId="7B9DA0F4" w:rsidR="00EC50AD" w:rsidRPr="00D67827" w:rsidRDefault="003B5F58" w:rsidP="00F42F74">
      <w:pPr>
        <w:pStyle w:val="Copytext11Pt"/>
        <w:rPr>
          <w:rFonts w:cs="Arial"/>
        </w:rPr>
      </w:pPr>
      <w:r w:rsidRPr="00D67827">
        <w:t>La nuova alternativa della LTC</w:t>
      </w:r>
      <w:r w:rsidR="00E76AC6">
        <w:t> </w:t>
      </w:r>
      <w:r w:rsidRPr="00D67827">
        <w:t xml:space="preserve">1050-3.1 offre la migliore combinazione possibile di compatibilità ambientale, vantaggio per il cliente ed efficienza. Su strada e fuori strada, è alimentata da un motore a combustione convenzionale a basse emissioni, con livello di emissioni di scarico </w:t>
      </w:r>
      <w:r w:rsidR="00236071" w:rsidRPr="00D67827">
        <w:t>fase</w:t>
      </w:r>
      <w:r w:rsidR="00E76AC6">
        <w:t> </w:t>
      </w:r>
      <w:r w:rsidRPr="00D67827">
        <w:t xml:space="preserve">5, che </w:t>
      </w:r>
      <w:r w:rsidR="00612AF8" w:rsidRPr="00D67827">
        <w:t>eroga</w:t>
      </w:r>
      <w:r w:rsidRPr="00D67827">
        <w:t xml:space="preserve"> 243</w:t>
      </w:r>
      <w:r w:rsidR="00E76AC6">
        <w:t> </w:t>
      </w:r>
      <w:r w:rsidRPr="00D67827">
        <w:t>kW (326</w:t>
      </w:r>
      <w:r w:rsidR="00E76AC6">
        <w:t> </w:t>
      </w:r>
      <w:r w:rsidRPr="00D67827">
        <w:t xml:space="preserve">CV). Il motore può essere alimentato con </w:t>
      </w:r>
      <w:r w:rsidR="00612AF8" w:rsidRPr="00D67827">
        <w:t>carburante</w:t>
      </w:r>
      <w:r w:rsidRPr="00D67827">
        <w:t xml:space="preserve"> </w:t>
      </w:r>
      <w:r w:rsidR="00612AF8" w:rsidRPr="00D67827">
        <w:t xml:space="preserve">derivante da oli </w:t>
      </w:r>
      <w:r w:rsidRPr="00D67827">
        <w:t>vegetal</w:t>
      </w:r>
      <w:r w:rsidR="00612AF8" w:rsidRPr="00D67827">
        <w:t>i</w:t>
      </w:r>
      <w:r w:rsidRPr="00D67827">
        <w:t xml:space="preserve"> idrogenat</w:t>
      </w:r>
      <w:r w:rsidR="00612AF8" w:rsidRPr="00D67827">
        <w:t>i</w:t>
      </w:r>
      <w:r w:rsidRPr="00D67827">
        <w:t xml:space="preserve"> (HVO) senza </w:t>
      </w:r>
      <w:r w:rsidR="00612AF8" w:rsidRPr="00D67827">
        <w:t>limitazioni</w:t>
      </w:r>
      <w:r w:rsidRPr="00D67827">
        <w:t>, il che consente di risparmiare fino al 90</w:t>
      </w:r>
      <w:r w:rsidR="00E76AC6">
        <w:t> </w:t>
      </w:r>
      <w:r w:rsidRPr="00D67827">
        <w:t>% delle emissioni di CO</w:t>
      </w:r>
      <w:r w:rsidRPr="00D67827">
        <w:rPr>
          <w:vertAlign w:val="subscript"/>
        </w:rPr>
        <w:t>2</w:t>
      </w:r>
      <w:r w:rsidRPr="00D67827">
        <w:t xml:space="preserve"> durante l’utilizzo, rispetto </w:t>
      </w:r>
      <w:r w:rsidR="00612AF8" w:rsidRPr="00D67827">
        <w:t xml:space="preserve">all’utilizzo di </w:t>
      </w:r>
      <w:r w:rsidRPr="00D67827">
        <w:t>gasolio</w:t>
      </w:r>
      <w:r w:rsidR="00612AF8" w:rsidRPr="00D67827">
        <w:t xml:space="preserve"> convenzionale</w:t>
      </w:r>
      <w:r w:rsidR="00F42F74">
        <w:t xml:space="preserve">. </w:t>
      </w:r>
    </w:p>
    <w:p w14:paraId="3E9027BF" w14:textId="08353FEB" w:rsidR="003B5F58" w:rsidRPr="00D67827" w:rsidRDefault="003B5F58" w:rsidP="00F42F74">
      <w:pPr>
        <w:pStyle w:val="Copytext11Pt"/>
        <w:rPr>
          <w:rFonts w:cs="Arial"/>
        </w:rPr>
      </w:pPr>
      <w:r w:rsidRPr="00D67827">
        <w:lastRenderedPageBreak/>
        <w:t xml:space="preserve">Per </w:t>
      </w:r>
      <w:r w:rsidR="00284E63" w:rsidRPr="00D67827">
        <w:t xml:space="preserve">l’operatività </w:t>
      </w:r>
      <w:r w:rsidRPr="00D67827">
        <w:t xml:space="preserve">della </w:t>
      </w:r>
      <w:r w:rsidR="00284E63" w:rsidRPr="00D67827">
        <w:t>macchina</w:t>
      </w:r>
      <w:r w:rsidRPr="00D67827">
        <w:t xml:space="preserve">, a seconda delle condizioni di impiego, si può selezionare in modo flessibile il motore a combustione o quello elettrico. Quest'ultimo riduce al minimo le emissioni di aria e di rumore, rendendo la macchina adatta all'utilizzo in aree sensibili al rumore e in </w:t>
      </w:r>
      <w:r w:rsidR="00612AF8" w:rsidRPr="00D67827">
        <w:t xml:space="preserve">aree a </w:t>
      </w:r>
      <w:r w:rsidRPr="00D67827">
        <w:t xml:space="preserve">"Zero Emission". </w:t>
      </w:r>
    </w:p>
    <w:p w14:paraId="3B518FEC" w14:textId="5682ACD7" w:rsidR="003B5F58" w:rsidRPr="00D67827" w:rsidRDefault="00A557CE" w:rsidP="00F42F74">
      <w:pPr>
        <w:pStyle w:val="Copyhead11Pt"/>
        <w:rPr>
          <w:rFonts w:cs="Arial"/>
        </w:rPr>
      </w:pPr>
      <w:r w:rsidRPr="00D67827">
        <w:t xml:space="preserve">Concetto di </w:t>
      </w:r>
      <w:r w:rsidR="004F633A" w:rsidRPr="00D67827">
        <w:t xml:space="preserve">modalità elettrica </w:t>
      </w:r>
      <w:r w:rsidRPr="00D67827">
        <w:t xml:space="preserve">semplice e intelligente: l'azionamento elettrico può essere utilizzato in modo flessibile </w:t>
      </w:r>
    </w:p>
    <w:p w14:paraId="430B19CA" w14:textId="29AC7B0A" w:rsidR="007723C4" w:rsidRPr="00D67827" w:rsidRDefault="00086132" w:rsidP="00F42F74">
      <w:pPr>
        <w:pStyle w:val="Copytext11Pt"/>
        <w:rPr>
          <w:rFonts w:cs="Arial"/>
        </w:rPr>
      </w:pPr>
      <w:r w:rsidRPr="00D67827">
        <w:t xml:space="preserve">Il </w:t>
      </w:r>
      <w:r w:rsidR="00593638" w:rsidRPr="00D67827">
        <w:t>motore elettrico</w:t>
      </w:r>
      <w:r w:rsidRPr="00D67827">
        <w:t xml:space="preserve"> di nuova concezione</w:t>
      </w:r>
      <w:r w:rsidR="00593638" w:rsidRPr="00D67827">
        <w:t>, offre una potenza di 72</w:t>
      </w:r>
      <w:r w:rsidR="00E76AC6">
        <w:t> </w:t>
      </w:r>
      <w:r w:rsidR="00593638" w:rsidRPr="00D67827">
        <w:t>kW e consente quindi un funzionamento della gru senza limitazioni, ovvero quasi con le stesse prestazioni di quando si utilizza il motore a 6</w:t>
      </w:r>
      <w:r w:rsidR="00E76AC6">
        <w:t> </w:t>
      </w:r>
      <w:r w:rsidR="00593638" w:rsidRPr="00D67827">
        <w:t xml:space="preserve">cilindri. Per la </w:t>
      </w:r>
      <w:r w:rsidR="00612AF8" w:rsidRPr="00D67827">
        <w:t xml:space="preserve">trasmissione della potenza </w:t>
      </w:r>
      <w:r w:rsidR="00121F88" w:rsidRPr="00D67827">
        <w:t>necessaria ai singoli movimenti</w:t>
      </w:r>
      <w:r w:rsidR="00612AF8" w:rsidRPr="00D67827">
        <w:t xml:space="preserve"> d</w:t>
      </w:r>
      <w:r w:rsidR="00593638" w:rsidRPr="00D67827">
        <w:t>ella torretta, l'azionamento elettrico utilizza la pompa idraulica esistente, che nella LTC</w:t>
      </w:r>
      <w:r w:rsidR="00E76AC6">
        <w:t> </w:t>
      </w:r>
      <w:r w:rsidR="00593638" w:rsidRPr="00D67827">
        <w:t xml:space="preserve">1050-3.1 </w:t>
      </w:r>
      <w:r w:rsidRPr="00D67827">
        <w:t xml:space="preserve">tradizionale </w:t>
      </w:r>
      <w:r w:rsidR="00593638" w:rsidRPr="00D67827">
        <w:t xml:space="preserve">è montata direttamente sulla </w:t>
      </w:r>
      <w:r w:rsidR="00D64C0C" w:rsidRPr="00D67827">
        <w:t xml:space="preserve">linea della </w:t>
      </w:r>
      <w:r w:rsidR="00121F88" w:rsidRPr="00D67827">
        <w:t xml:space="preserve">forza motrice della </w:t>
      </w:r>
      <w:r w:rsidR="00593638" w:rsidRPr="00D67827">
        <w:t>trasmissione</w:t>
      </w:r>
      <w:r w:rsidR="00D64C0C" w:rsidRPr="00D67827">
        <w:t xml:space="preserve"> Powershift</w:t>
      </w:r>
      <w:r w:rsidR="00593638" w:rsidRPr="00D67827">
        <w:t xml:space="preserve">. </w:t>
      </w:r>
    </w:p>
    <w:p w14:paraId="1BE9380C" w14:textId="41532AE3" w:rsidR="00593638" w:rsidRPr="00D67827" w:rsidRDefault="00766980" w:rsidP="00F42F74">
      <w:pPr>
        <w:pStyle w:val="Copytext11Pt"/>
        <w:rPr>
          <w:rFonts w:cs="Arial"/>
        </w:rPr>
      </w:pPr>
      <w:r w:rsidRPr="00D67827">
        <w:t xml:space="preserve">Nella versione elettrica, al modello </w:t>
      </w:r>
      <w:r w:rsidR="00086132" w:rsidRPr="00D67827">
        <w:t xml:space="preserve">tradizionale </w:t>
      </w:r>
      <w:r w:rsidRPr="00D67827">
        <w:t>della LTC</w:t>
      </w:r>
      <w:r w:rsidR="00E76AC6">
        <w:t> </w:t>
      </w:r>
      <w:r w:rsidRPr="00D67827">
        <w:t xml:space="preserve">1050-3.1 vengono aggiunti solo il motore elettrico e un </w:t>
      </w:r>
      <w:r w:rsidR="00D64C0C" w:rsidRPr="00D67827">
        <w:t>giunto di trasferimento della trasmissione</w:t>
      </w:r>
      <w:r w:rsidRPr="00D67827">
        <w:t xml:space="preserve">, nonché </w:t>
      </w:r>
      <w:r w:rsidR="00D64C0C" w:rsidRPr="00D67827">
        <w:t>tutto il sistema tecnologico</w:t>
      </w:r>
      <w:r w:rsidRPr="00D67827">
        <w:t xml:space="preserve"> di controllo necessari</w:t>
      </w:r>
      <w:r w:rsidR="00D64C0C" w:rsidRPr="00D67827">
        <w:t>o</w:t>
      </w:r>
      <w:r w:rsidRPr="00D67827">
        <w:t xml:space="preserve">. Il </w:t>
      </w:r>
      <w:r w:rsidR="00D64C0C" w:rsidRPr="00D67827">
        <w:t xml:space="preserve">giunto di trasferimento </w:t>
      </w:r>
      <w:r w:rsidRPr="00D67827">
        <w:t xml:space="preserve">si trova direttamente tra la pompa della gru e la </w:t>
      </w:r>
      <w:r w:rsidR="00D64C0C" w:rsidRPr="00D67827">
        <w:t>linea della forza motrice della trasmissione Powershift</w:t>
      </w:r>
      <w:r w:rsidRPr="00D67827">
        <w:t>. Questa soluzione intelligente e al contempo semplice</w:t>
      </w:r>
      <w:r w:rsidR="00D64C0C" w:rsidRPr="00D67827">
        <w:t>,</w:t>
      </w:r>
      <w:r w:rsidRPr="00D67827">
        <w:t xml:space="preserve"> permette una commutazione flessibile tra l'azionamento diesel-idraulico e quello elettro</w:t>
      </w:r>
      <w:r w:rsidR="00D64C0C" w:rsidRPr="00D67827">
        <w:t>-</w:t>
      </w:r>
      <w:r w:rsidRPr="00D67827">
        <w:t>idraulico. È necessaria una corrente di cantiere di 125</w:t>
      </w:r>
      <w:r w:rsidR="00E76AC6">
        <w:t> </w:t>
      </w:r>
      <w:r w:rsidR="00D64C0C" w:rsidRPr="00D67827">
        <w:t>(A)</w:t>
      </w:r>
      <w:r w:rsidRPr="00D67827">
        <w:t xml:space="preserve"> ampere per </w:t>
      </w:r>
      <w:r w:rsidR="00D64C0C" w:rsidRPr="00D67827">
        <w:t>avere la massima prestazione elettrica</w:t>
      </w:r>
      <w:r w:rsidRPr="00D67827">
        <w:t xml:space="preserve">, ma il funzionamento è possibile </w:t>
      </w:r>
      <w:r w:rsidR="00D64C0C" w:rsidRPr="00D67827">
        <w:t>fino ad un minimo di</w:t>
      </w:r>
      <w:r w:rsidRPr="00D67827">
        <w:t xml:space="preserve"> 63</w:t>
      </w:r>
      <w:r w:rsidR="00E76AC6">
        <w:t> </w:t>
      </w:r>
      <w:r w:rsidR="00D64C0C" w:rsidRPr="00D67827">
        <w:t xml:space="preserve">(A) </w:t>
      </w:r>
      <w:r w:rsidRPr="00D67827">
        <w:t xml:space="preserve">ampere. In alternativa, </w:t>
      </w:r>
      <w:r w:rsidR="00D64C0C" w:rsidRPr="00D67827">
        <w:t xml:space="preserve">se il cantiere non ha un impianto elettrico idoneo </w:t>
      </w:r>
      <w:r w:rsidRPr="00D67827">
        <w:t xml:space="preserve">la gru può funzionare </w:t>
      </w:r>
      <w:r w:rsidR="00D64C0C" w:rsidRPr="00D67827">
        <w:t xml:space="preserve">anche </w:t>
      </w:r>
      <w:r w:rsidRPr="00D67827">
        <w:t>con un "</w:t>
      </w:r>
      <w:r w:rsidR="00D64C0C" w:rsidRPr="00D67827">
        <w:t>Pacco Batterie</w:t>
      </w:r>
      <w:r w:rsidRPr="00D67827">
        <w:t>" estern</w:t>
      </w:r>
      <w:r w:rsidR="00D64C0C" w:rsidRPr="00D67827">
        <w:t>o</w:t>
      </w:r>
      <w:r w:rsidRPr="00D67827">
        <w:t xml:space="preserve"> disponibile in commercio.</w:t>
      </w:r>
    </w:p>
    <w:p w14:paraId="5D17D9C8" w14:textId="4856484B" w:rsidR="007723C4" w:rsidRPr="00D67827" w:rsidRDefault="007723C4" w:rsidP="00F42F74">
      <w:pPr>
        <w:pStyle w:val="Copytext11Pt"/>
        <w:rPr>
          <w:rFonts w:cs="Arial"/>
        </w:rPr>
      </w:pPr>
      <w:r w:rsidRPr="00D67827">
        <w:t>Liebherr offre la versione elettrica della LTC</w:t>
      </w:r>
      <w:r w:rsidR="00E76AC6">
        <w:t> </w:t>
      </w:r>
      <w:r w:rsidRPr="00D67827">
        <w:t>1050-3.1 per la versione con il</w:t>
      </w:r>
      <w:r w:rsidR="00CA2A67" w:rsidRPr="00D67827">
        <w:t xml:space="preserve"> sistema di </w:t>
      </w:r>
      <w:r w:rsidR="00B16BE2" w:rsidRPr="00D67827">
        <w:t>sfilo telescopico</w:t>
      </w:r>
      <w:r w:rsidRPr="00D67827">
        <w:t xml:space="preserve"> TELEMATIK da 36</w:t>
      </w:r>
      <w:r w:rsidR="00E76AC6">
        <w:t> </w:t>
      </w:r>
      <w:r w:rsidRPr="00D67827">
        <w:t xml:space="preserve">metri. Le opzioni RemoteDrive per </w:t>
      </w:r>
      <w:r w:rsidR="00CA2A67" w:rsidRPr="00D67827">
        <w:t>guida</w:t>
      </w:r>
      <w:r w:rsidR="00086132" w:rsidRPr="00D67827">
        <w:t xml:space="preserve"> </w:t>
      </w:r>
      <w:r w:rsidR="00CA2A67" w:rsidRPr="00D67827">
        <w:t>con radiocomando</w:t>
      </w:r>
      <w:r w:rsidRPr="00D67827">
        <w:t xml:space="preserve"> e la cabina regolabile in altezza sono disponibili anche per la nuova gru. </w:t>
      </w:r>
      <w:r w:rsidR="00CA2A67" w:rsidRPr="00D67827">
        <w:t xml:space="preserve">Sono in pieno svolgimento </w:t>
      </w:r>
      <w:r w:rsidRPr="00D67827">
        <w:t>intensivi</w:t>
      </w:r>
      <w:r w:rsidR="00CA2A67" w:rsidRPr="00D67827">
        <w:t xml:space="preserve"> test</w:t>
      </w:r>
      <w:r w:rsidRPr="00D67827">
        <w:t xml:space="preserve"> de</w:t>
      </w:r>
      <w:r w:rsidR="00CA2A67" w:rsidRPr="00D67827">
        <w:t>i prototipi</w:t>
      </w:r>
      <w:r w:rsidRPr="00D67827">
        <w:t xml:space="preserve"> con trazione elettrica, pertanto Liebherr </w:t>
      </w:r>
      <w:r w:rsidR="00CA2A67" w:rsidRPr="00D67827">
        <w:t>prevede</w:t>
      </w:r>
      <w:r w:rsidRPr="00D67827">
        <w:t xml:space="preserve"> le prime consegne per il 2023.</w:t>
      </w:r>
    </w:p>
    <w:p w14:paraId="79BAE5F4" w14:textId="68F5F5BE" w:rsidR="00741D3A" w:rsidRPr="00B926A0" w:rsidRDefault="00741D3A" w:rsidP="00F42F74">
      <w:pPr>
        <w:pStyle w:val="BoilerplateCopyhead9Pt"/>
        <w:rPr>
          <w:lang w:val="de-DE"/>
        </w:rPr>
      </w:pPr>
      <w:r w:rsidRPr="00B926A0">
        <w:rPr>
          <w:lang w:val="de-DE"/>
        </w:rPr>
        <w:t>Liebherr-Werk Ehingen GmbH: chi siamo</w:t>
      </w:r>
    </w:p>
    <w:p w14:paraId="6F947EFA" w14:textId="4DCD8861" w:rsidR="00176D27" w:rsidRPr="00D67827" w:rsidRDefault="00176D27" w:rsidP="00F42F74">
      <w:pPr>
        <w:pStyle w:val="BoilerplateCopytext9Pt"/>
      </w:pPr>
      <w:r w:rsidRPr="00D67827">
        <w:t>Liebherr-Werk Ehingen GmbH è uno dei principali produttori di gru mobili e cingolate. La gamma di gru mobili si estende dalla gru a 2 assi da 35 tonnellate a quella per carichi pesanti, con capacità di sollevamento di 1.200 tonnellate e telaio a 9 assi. Le gru mobili tralicciate o cingolate raggiungono capacità di sollevamento fino a 3.000 tonnellate. Con sistemi a braccio universale e un'ampia dotazione aggiuntiva, sono al lavoro nei cantieri di tutto il mondo. Presso la sede di Ehingen lavorano 3.</w:t>
      </w:r>
      <w:r w:rsidR="00123C9A">
        <w:t>8</w:t>
      </w:r>
      <w:r w:rsidRPr="00D67827">
        <w:t xml:space="preserve">00 dipendenti. Un servizio completo in tutto il mondo garantisce un'elevata disponibilità di </w:t>
      </w:r>
      <w:r w:rsidR="00123C9A">
        <w:t>gru mobili e cingolate. Nel 2021</w:t>
      </w:r>
      <w:r w:rsidRPr="00D67827">
        <w:t>, lo stabilimento Liebherr di Ehingen ha realizzato un fatturato di 2</w:t>
      </w:r>
      <w:r w:rsidR="00123C9A">
        <w:t>,3</w:t>
      </w:r>
      <w:r w:rsidR="00001251" w:rsidRPr="00D67827">
        <w:t>3</w:t>
      </w:r>
      <w:r w:rsidRPr="00D67827">
        <w:t xml:space="preserve"> miliardi di euro.</w:t>
      </w:r>
    </w:p>
    <w:p w14:paraId="2ED827E5" w14:textId="694CB50E" w:rsidR="00176D27" w:rsidRPr="00B926A0" w:rsidRDefault="00C01699" w:rsidP="00F42F74">
      <w:pPr>
        <w:pStyle w:val="BoilerplateCopyhead9Pt"/>
      </w:pPr>
      <w:r w:rsidRPr="00C01699">
        <w:t>A proposito del gruppo imprenditoriale Liebherr</w:t>
      </w:r>
    </w:p>
    <w:p w14:paraId="357F4566" w14:textId="5AC342BD" w:rsidR="00176D27" w:rsidRPr="00D67827" w:rsidRDefault="00176D27" w:rsidP="00F42F74">
      <w:pPr>
        <w:pStyle w:val="BoilerplateCopytext9Pt"/>
      </w:pPr>
      <w:r w:rsidRPr="00D67827">
        <w:t xml:space="preserve">Il </w:t>
      </w:r>
      <w:r w:rsidR="00C01699" w:rsidRPr="00C01699">
        <w:t>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4789A7A7" w14:textId="77777777" w:rsidR="00F42F74" w:rsidRDefault="00F42F74">
      <w:pPr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br w:type="page"/>
      </w:r>
    </w:p>
    <w:p w14:paraId="54028307" w14:textId="43A8B3BE" w:rsidR="006228BF" w:rsidRPr="00D67827" w:rsidRDefault="006228BF" w:rsidP="006228BF">
      <w:pPr>
        <w:spacing w:after="300" w:line="300" w:lineRule="exact"/>
        <w:rPr>
          <w:rFonts w:ascii="Arial" w:eastAsia="Times New Roman" w:hAnsi="Arial" w:cs="Arial"/>
          <w:b/>
          <w:szCs w:val="18"/>
        </w:rPr>
      </w:pPr>
      <w:r w:rsidRPr="00D67827">
        <w:rPr>
          <w:rFonts w:ascii="Arial" w:hAnsi="Arial"/>
          <w:b/>
          <w:szCs w:val="18"/>
        </w:rPr>
        <w:t xml:space="preserve">Immagini </w:t>
      </w:r>
    </w:p>
    <w:p w14:paraId="0FB66ADA" w14:textId="1D2E6343" w:rsidR="00022B4D" w:rsidRPr="00D67827" w:rsidRDefault="00CB0276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  <w:lang w:val="de-DE" w:eastAsia="de-DE"/>
        </w:rPr>
        <w:drawing>
          <wp:inline distT="0" distB="0" distL="0" distR="0" wp14:anchorId="17A2B8DD" wp14:editId="589AC09D">
            <wp:extent cx="4262034" cy="2839407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ltc1050-electric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1" cy="286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DC53" w14:textId="205DE6EB" w:rsidR="00022B4D" w:rsidRPr="00D67827" w:rsidRDefault="00C7271F" w:rsidP="00F42F74">
      <w:pPr>
        <w:pStyle w:val="Caption9Pt"/>
      </w:pPr>
      <w:r w:rsidRPr="00D67827">
        <w:t>liebherr-ltc1050-electric.jpg</w:t>
      </w:r>
      <w:r w:rsidRPr="00D67827">
        <w:br/>
        <w:t>La nuova versione della LTC</w:t>
      </w:r>
      <w:r w:rsidR="005D573C">
        <w:t> </w:t>
      </w:r>
      <w:r w:rsidRPr="00D67827">
        <w:t xml:space="preserve">1050-3.1 è dotata di un </w:t>
      </w:r>
      <w:r w:rsidR="00001251" w:rsidRPr="00D67827">
        <w:t xml:space="preserve">funzionamento </w:t>
      </w:r>
      <w:r w:rsidRPr="00D67827">
        <w:t xml:space="preserve">elettrico supplementare per </w:t>
      </w:r>
      <w:r w:rsidR="00F20B06" w:rsidRPr="00D67827">
        <w:t xml:space="preserve">gli impieghi </w:t>
      </w:r>
      <w:r w:rsidR="00F50AC2" w:rsidRPr="00D67827">
        <w:t>dell’autogrù.</w:t>
      </w:r>
    </w:p>
    <w:p w14:paraId="4E6A3FA8" w14:textId="77777777" w:rsidR="00022B4D" w:rsidRPr="00D67827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D18F243" w14:textId="77777777" w:rsidR="00022B4D" w:rsidRPr="00D67827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</w:rPr>
      </w:pPr>
      <w:r w:rsidRPr="00D67827">
        <w:rPr>
          <w:rFonts w:ascii="Arial" w:hAnsi="Arial"/>
          <w:noProof/>
          <w:sz w:val="18"/>
          <w:szCs w:val="18"/>
          <w:lang w:val="de-DE" w:eastAsia="de-DE"/>
        </w:rPr>
        <w:drawing>
          <wp:inline distT="0" distB="0" distL="0" distR="0" wp14:anchorId="2A82D517" wp14:editId="52D7650A">
            <wp:extent cx="4072323" cy="2712204"/>
            <wp:effectExtent l="0" t="0" r="4445" b="0"/>
            <wp:docPr id="2" name="Grafik 2" descr="Y:\Presse\Krantypen\LTC1050_3_1_E\liebherr-ltc1050-electric-concept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esse\Krantypen\LTC1050_3_1_E\liebherr-ltc1050-electric-concept-96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17" cy="273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D334" w14:textId="1FFB3D23" w:rsidR="0088513F" w:rsidRDefault="00022B4D" w:rsidP="00F42F74">
      <w:pPr>
        <w:pStyle w:val="Caption9Pt"/>
      </w:pPr>
      <w:r w:rsidRPr="00D67827">
        <w:t>liebherr-ltc1050-electric-concept.jpg</w:t>
      </w:r>
      <w:r w:rsidRPr="00D67827">
        <w:br/>
        <w:t xml:space="preserve">Il motore elettrico aziona la pompa della gru tramite un gruppo di rinvio. </w:t>
      </w:r>
    </w:p>
    <w:p w14:paraId="04653977" w14:textId="12F08A92" w:rsidR="00CB0276" w:rsidRDefault="00CB0276" w:rsidP="00022B4D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eastAsiaTheme="minorHAnsi" w:hAnsi="Arial" w:cs="Arial"/>
          <w:noProof/>
          <w:sz w:val="18"/>
          <w:szCs w:val="18"/>
          <w:lang w:val="de-DE" w:eastAsia="de-DE"/>
        </w:rPr>
        <w:drawing>
          <wp:inline distT="0" distB="0" distL="0" distR="0" wp14:anchorId="3100B265" wp14:editId="02C89EBE">
            <wp:extent cx="2868824" cy="4306268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ebherr-ltc1050-electric-indoor-96dp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49" cy="431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CA8F" w14:textId="5E796E43" w:rsidR="00CB0276" w:rsidRPr="00D67827" w:rsidRDefault="00CB0276" w:rsidP="00F42F74">
      <w:pPr>
        <w:pStyle w:val="Caption9Pt"/>
      </w:pPr>
      <w:r w:rsidRPr="00CB0276">
        <w:t xml:space="preserve">liebherr-ltc1050-electric-indoor.jpg </w:t>
      </w:r>
      <w:r>
        <w:br/>
      </w:r>
      <w:r w:rsidR="00EA3AF9" w:rsidRPr="00EA3AF9">
        <w:t>La LTC</w:t>
      </w:r>
      <w:r w:rsidR="005D573C">
        <w:t> </w:t>
      </w:r>
      <w:r w:rsidR="00EA3AF9" w:rsidRPr="00EA3AF9">
        <w:t>1050-3.1 con azionamento elettrico e cabina con altezza regolabile in uso in un'officina della fabbrica</w:t>
      </w:r>
    </w:p>
    <w:p w14:paraId="6A3D23B7" w14:textId="3CABD2DD" w:rsidR="00ED6B42" w:rsidRDefault="00ED6B42" w:rsidP="00F42F74">
      <w:pPr>
        <w:pStyle w:val="Copyhead11Pt"/>
        <w:rPr>
          <w:rFonts w:eastAsiaTheme="minorHAnsi"/>
        </w:rPr>
      </w:pPr>
    </w:p>
    <w:p w14:paraId="26C54D24" w14:textId="77777777" w:rsidR="00F42F74" w:rsidRPr="00D67827" w:rsidRDefault="00F42F74" w:rsidP="00F42F74">
      <w:pPr>
        <w:pStyle w:val="Copyhead11Pt"/>
        <w:rPr>
          <w:rFonts w:eastAsiaTheme="minorHAnsi"/>
        </w:rPr>
      </w:pPr>
    </w:p>
    <w:p w14:paraId="46901BAA" w14:textId="77777777" w:rsidR="006228BF" w:rsidRPr="00B926A0" w:rsidRDefault="006228BF" w:rsidP="00F42F74">
      <w:pPr>
        <w:pStyle w:val="Copyhead11Pt"/>
        <w:rPr>
          <w:lang w:val="de-DE"/>
        </w:rPr>
      </w:pPr>
      <w:r w:rsidRPr="00B926A0">
        <w:rPr>
          <w:lang w:val="de-DE"/>
        </w:rPr>
        <w:t>Referente</w:t>
      </w:r>
    </w:p>
    <w:p w14:paraId="21823016" w14:textId="77777777" w:rsidR="006228BF" w:rsidRPr="00B926A0" w:rsidRDefault="006228BF" w:rsidP="006228BF">
      <w:pPr>
        <w:spacing w:after="300" w:line="300" w:lineRule="exact"/>
        <w:rPr>
          <w:rFonts w:ascii="Arial" w:eastAsia="Times New Roman" w:hAnsi="Arial" w:cs="Arial"/>
          <w:szCs w:val="18"/>
          <w:lang w:val="de-DE"/>
        </w:rPr>
      </w:pPr>
      <w:r w:rsidRPr="00B926A0">
        <w:rPr>
          <w:rFonts w:ascii="Arial" w:hAnsi="Arial"/>
          <w:szCs w:val="18"/>
          <w:lang w:val="de-DE"/>
        </w:rPr>
        <w:t>Wolfgang Beringer</w:t>
      </w:r>
      <w:r w:rsidRPr="00B926A0">
        <w:rPr>
          <w:rFonts w:ascii="Arial" w:hAnsi="Arial"/>
          <w:szCs w:val="18"/>
          <w:lang w:val="de-DE"/>
        </w:rPr>
        <w:br/>
        <w:t>Marketing and Communication</w:t>
      </w:r>
      <w:r w:rsidRPr="00B926A0">
        <w:rPr>
          <w:rFonts w:ascii="Arial" w:hAnsi="Arial"/>
          <w:szCs w:val="18"/>
          <w:lang w:val="de-DE"/>
        </w:rPr>
        <w:br/>
        <w:t>Tel.: +49 7391/502 - 3663</w:t>
      </w:r>
      <w:r w:rsidRPr="00B926A0">
        <w:rPr>
          <w:rFonts w:ascii="Arial" w:hAnsi="Arial"/>
          <w:szCs w:val="18"/>
          <w:lang w:val="de-DE"/>
        </w:rPr>
        <w:br/>
        <w:t>E-mail: wolfgang.beringer@liebherr.com</w:t>
      </w:r>
    </w:p>
    <w:p w14:paraId="1A7B81FA" w14:textId="77777777" w:rsidR="006228BF" w:rsidRPr="00B926A0" w:rsidRDefault="006228BF" w:rsidP="00F42F74">
      <w:pPr>
        <w:pStyle w:val="Copyhead11Pt"/>
        <w:rPr>
          <w:rFonts w:cs="Arial"/>
          <w:lang w:val="de-DE"/>
        </w:rPr>
      </w:pPr>
      <w:r w:rsidRPr="00B926A0">
        <w:rPr>
          <w:lang w:val="de-DE"/>
        </w:rPr>
        <w:t>Pubblicato da</w:t>
      </w:r>
    </w:p>
    <w:p w14:paraId="0F362053" w14:textId="77777777" w:rsidR="006228BF" w:rsidRPr="00B926A0" w:rsidRDefault="006228BF" w:rsidP="0088513F">
      <w:pPr>
        <w:spacing w:after="300" w:line="300" w:lineRule="exact"/>
        <w:rPr>
          <w:rFonts w:ascii="Arial" w:eastAsia="Times New Roman" w:hAnsi="Arial" w:cs="Arial"/>
          <w:szCs w:val="18"/>
          <w:lang w:val="de-DE"/>
        </w:rPr>
      </w:pPr>
      <w:r w:rsidRPr="00B926A0">
        <w:rPr>
          <w:rFonts w:ascii="Arial" w:hAnsi="Arial"/>
          <w:szCs w:val="18"/>
          <w:lang w:val="de-DE"/>
        </w:rPr>
        <w:t xml:space="preserve">Liebherr-Werk Ehingen GmbH </w:t>
      </w:r>
      <w:r w:rsidRPr="00B926A0">
        <w:rPr>
          <w:rFonts w:ascii="Arial" w:hAnsi="Arial"/>
          <w:szCs w:val="18"/>
          <w:lang w:val="de-DE"/>
        </w:rPr>
        <w:br/>
        <w:t>Ehingen (Donau) / Germania</w:t>
      </w:r>
      <w:r w:rsidRPr="00B926A0">
        <w:rPr>
          <w:rFonts w:ascii="Arial" w:hAnsi="Arial"/>
          <w:szCs w:val="18"/>
          <w:lang w:val="de-DE"/>
        </w:rPr>
        <w:br/>
        <w:t>www.liebherr.com</w:t>
      </w:r>
    </w:p>
    <w:sectPr w:rsidR="006228BF" w:rsidRPr="00B926A0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775E" w14:textId="77777777" w:rsidR="00F03A79" w:rsidRDefault="00F03A79" w:rsidP="00B81ED6">
      <w:pPr>
        <w:spacing w:after="0" w:line="240" w:lineRule="auto"/>
      </w:pPr>
      <w:r>
        <w:separator/>
      </w:r>
    </w:p>
  </w:endnote>
  <w:endnote w:type="continuationSeparator" w:id="0">
    <w:p w14:paraId="3EAA5163" w14:textId="77777777" w:rsidR="00F03A79" w:rsidRDefault="00F03A79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46BC" w14:textId="14CCD46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A5C5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EA5C5F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A5C5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A5C5F">
      <w:rPr>
        <w:rFonts w:ascii="Arial" w:hAnsi="Arial" w:cs="Arial"/>
      </w:rPr>
      <w:fldChar w:fldCharType="separate"/>
    </w:r>
    <w:r w:rsidR="00EA5C5F">
      <w:rPr>
        <w:rFonts w:ascii="Arial" w:hAnsi="Arial" w:cs="Arial"/>
        <w:noProof/>
      </w:rPr>
      <w:t>1</w:t>
    </w:r>
    <w:r w:rsidR="00EA5C5F" w:rsidRPr="0093605C">
      <w:rPr>
        <w:rFonts w:ascii="Arial" w:hAnsi="Arial" w:cs="Arial"/>
        <w:noProof/>
      </w:rPr>
      <w:t>/</w:t>
    </w:r>
    <w:r w:rsidR="00EA5C5F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63CF" w14:textId="77777777" w:rsidR="00F03A79" w:rsidRDefault="00F03A79" w:rsidP="00B81ED6">
      <w:pPr>
        <w:spacing w:after="0" w:line="240" w:lineRule="auto"/>
      </w:pPr>
      <w:r>
        <w:separator/>
      </w:r>
    </w:p>
  </w:footnote>
  <w:footnote w:type="continuationSeparator" w:id="0">
    <w:p w14:paraId="56D590DB" w14:textId="77777777" w:rsidR="00F03A79" w:rsidRDefault="00F03A79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B725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69EECD83" wp14:editId="094F0A9C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F010B25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1251"/>
    <w:rsid w:val="000050BD"/>
    <w:rsid w:val="0002277D"/>
    <w:rsid w:val="00022B4D"/>
    <w:rsid w:val="00022C34"/>
    <w:rsid w:val="00031972"/>
    <w:rsid w:val="00032176"/>
    <w:rsid w:val="00033002"/>
    <w:rsid w:val="000340D0"/>
    <w:rsid w:val="000579DD"/>
    <w:rsid w:val="00066E4A"/>
    <w:rsid w:val="00066E54"/>
    <w:rsid w:val="0007556A"/>
    <w:rsid w:val="00086132"/>
    <w:rsid w:val="00092E04"/>
    <w:rsid w:val="000A361C"/>
    <w:rsid w:val="000A377A"/>
    <w:rsid w:val="000A417D"/>
    <w:rsid w:val="000B706F"/>
    <w:rsid w:val="000E3C3F"/>
    <w:rsid w:val="000E60D9"/>
    <w:rsid w:val="000F2D4D"/>
    <w:rsid w:val="000F30A0"/>
    <w:rsid w:val="000F4A8C"/>
    <w:rsid w:val="000F61BA"/>
    <w:rsid w:val="00100072"/>
    <w:rsid w:val="00104424"/>
    <w:rsid w:val="00104ECF"/>
    <w:rsid w:val="00121F88"/>
    <w:rsid w:val="00123C9A"/>
    <w:rsid w:val="0013537C"/>
    <w:rsid w:val="001409C5"/>
    <w:rsid w:val="001419B4"/>
    <w:rsid w:val="0014347A"/>
    <w:rsid w:val="00145433"/>
    <w:rsid w:val="00145DB7"/>
    <w:rsid w:val="0015229F"/>
    <w:rsid w:val="001546CA"/>
    <w:rsid w:val="001637C0"/>
    <w:rsid w:val="001726A0"/>
    <w:rsid w:val="00175B0E"/>
    <w:rsid w:val="00176D27"/>
    <w:rsid w:val="0019065F"/>
    <w:rsid w:val="00194B16"/>
    <w:rsid w:val="001A1AD7"/>
    <w:rsid w:val="001A41B8"/>
    <w:rsid w:val="001F1DE8"/>
    <w:rsid w:val="001F45B5"/>
    <w:rsid w:val="002065EA"/>
    <w:rsid w:val="002219FD"/>
    <w:rsid w:val="002256EE"/>
    <w:rsid w:val="002269D9"/>
    <w:rsid w:val="002356D9"/>
    <w:rsid w:val="00236071"/>
    <w:rsid w:val="00247430"/>
    <w:rsid w:val="002503B5"/>
    <w:rsid w:val="002611F4"/>
    <w:rsid w:val="002635C3"/>
    <w:rsid w:val="00283473"/>
    <w:rsid w:val="00284E63"/>
    <w:rsid w:val="002A393E"/>
    <w:rsid w:val="002B6DAF"/>
    <w:rsid w:val="002C631C"/>
    <w:rsid w:val="002D715F"/>
    <w:rsid w:val="00310F43"/>
    <w:rsid w:val="003170C0"/>
    <w:rsid w:val="00320E80"/>
    <w:rsid w:val="003241EF"/>
    <w:rsid w:val="00325953"/>
    <w:rsid w:val="00327624"/>
    <w:rsid w:val="00340035"/>
    <w:rsid w:val="0034272E"/>
    <w:rsid w:val="003524D2"/>
    <w:rsid w:val="00356BD8"/>
    <w:rsid w:val="003625E8"/>
    <w:rsid w:val="00362985"/>
    <w:rsid w:val="00383075"/>
    <w:rsid w:val="003936A6"/>
    <w:rsid w:val="003A7927"/>
    <w:rsid w:val="003B5F58"/>
    <w:rsid w:val="003D2D66"/>
    <w:rsid w:val="00410148"/>
    <w:rsid w:val="00410899"/>
    <w:rsid w:val="00424A81"/>
    <w:rsid w:val="00427A4E"/>
    <w:rsid w:val="004361D0"/>
    <w:rsid w:val="004541C1"/>
    <w:rsid w:val="00456D10"/>
    <w:rsid w:val="004570FD"/>
    <w:rsid w:val="00466A15"/>
    <w:rsid w:val="00482714"/>
    <w:rsid w:val="004946B6"/>
    <w:rsid w:val="004A5DCC"/>
    <w:rsid w:val="004D7D7A"/>
    <w:rsid w:val="004E1143"/>
    <w:rsid w:val="004E74AF"/>
    <w:rsid w:val="004F633A"/>
    <w:rsid w:val="00500788"/>
    <w:rsid w:val="005064F4"/>
    <w:rsid w:val="0053068B"/>
    <w:rsid w:val="00530F16"/>
    <w:rsid w:val="00556698"/>
    <w:rsid w:val="00575333"/>
    <w:rsid w:val="00580276"/>
    <w:rsid w:val="005805A1"/>
    <w:rsid w:val="005811D9"/>
    <w:rsid w:val="00582B15"/>
    <w:rsid w:val="00583D52"/>
    <w:rsid w:val="005916F1"/>
    <w:rsid w:val="0059243B"/>
    <w:rsid w:val="00593638"/>
    <w:rsid w:val="005A106C"/>
    <w:rsid w:val="005B0F27"/>
    <w:rsid w:val="005B39F0"/>
    <w:rsid w:val="005D51EB"/>
    <w:rsid w:val="005D573C"/>
    <w:rsid w:val="005E4BB3"/>
    <w:rsid w:val="005F6CE3"/>
    <w:rsid w:val="00612AF8"/>
    <w:rsid w:val="006228BF"/>
    <w:rsid w:val="006266E6"/>
    <w:rsid w:val="00631B86"/>
    <w:rsid w:val="00641D38"/>
    <w:rsid w:val="00652E53"/>
    <w:rsid w:val="00663F7D"/>
    <w:rsid w:val="006B57D2"/>
    <w:rsid w:val="006F0A7D"/>
    <w:rsid w:val="006F4B04"/>
    <w:rsid w:val="0070516B"/>
    <w:rsid w:val="0070698F"/>
    <w:rsid w:val="007252CC"/>
    <w:rsid w:val="00735FD6"/>
    <w:rsid w:val="00737662"/>
    <w:rsid w:val="00741D3A"/>
    <w:rsid w:val="00747169"/>
    <w:rsid w:val="00754EFC"/>
    <w:rsid w:val="00756746"/>
    <w:rsid w:val="00760847"/>
    <w:rsid w:val="00760DD2"/>
    <w:rsid w:val="00761197"/>
    <w:rsid w:val="007620D3"/>
    <w:rsid w:val="00765584"/>
    <w:rsid w:val="00766980"/>
    <w:rsid w:val="007723C4"/>
    <w:rsid w:val="00783E18"/>
    <w:rsid w:val="00787030"/>
    <w:rsid w:val="00787794"/>
    <w:rsid w:val="007C2DD9"/>
    <w:rsid w:val="007C5BBE"/>
    <w:rsid w:val="007D6C72"/>
    <w:rsid w:val="007D6DD6"/>
    <w:rsid w:val="007F2586"/>
    <w:rsid w:val="007F6D20"/>
    <w:rsid w:val="008127C3"/>
    <w:rsid w:val="0082320F"/>
    <w:rsid w:val="0082341B"/>
    <w:rsid w:val="00824226"/>
    <w:rsid w:val="00827B5A"/>
    <w:rsid w:val="00830478"/>
    <w:rsid w:val="00830DFA"/>
    <w:rsid w:val="00831A4B"/>
    <w:rsid w:val="00833BB1"/>
    <w:rsid w:val="0084744F"/>
    <w:rsid w:val="00877A3F"/>
    <w:rsid w:val="0088513F"/>
    <w:rsid w:val="008965F2"/>
    <w:rsid w:val="008D04AB"/>
    <w:rsid w:val="008F7115"/>
    <w:rsid w:val="009108AA"/>
    <w:rsid w:val="009119F4"/>
    <w:rsid w:val="009169F9"/>
    <w:rsid w:val="00933111"/>
    <w:rsid w:val="0093605C"/>
    <w:rsid w:val="009376A6"/>
    <w:rsid w:val="00961232"/>
    <w:rsid w:val="00961DFD"/>
    <w:rsid w:val="00965077"/>
    <w:rsid w:val="00966EAC"/>
    <w:rsid w:val="00986FB0"/>
    <w:rsid w:val="009A35E1"/>
    <w:rsid w:val="009A3D17"/>
    <w:rsid w:val="009A4CC2"/>
    <w:rsid w:val="009A6EB9"/>
    <w:rsid w:val="009B052F"/>
    <w:rsid w:val="009B5053"/>
    <w:rsid w:val="009C0CA8"/>
    <w:rsid w:val="009D5250"/>
    <w:rsid w:val="009E27D6"/>
    <w:rsid w:val="009E5948"/>
    <w:rsid w:val="009F79A0"/>
    <w:rsid w:val="00A042C8"/>
    <w:rsid w:val="00A332B4"/>
    <w:rsid w:val="00A53FE4"/>
    <w:rsid w:val="00A557CE"/>
    <w:rsid w:val="00A55BCD"/>
    <w:rsid w:val="00A76FDC"/>
    <w:rsid w:val="00A82210"/>
    <w:rsid w:val="00A9414C"/>
    <w:rsid w:val="00AA2DE5"/>
    <w:rsid w:val="00AA368D"/>
    <w:rsid w:val="00AC10D4"/>
    <w:rsid w:val="00AC2129"/>
    <w:rsid w:val="00AC5894"/>
    <w:rsid w:val="00AD55ED"/>
    <w:rsid w:val="00AF1F99"/>
    <w:rsid w:val="00B16BE2"/>
    <w:rsid w:val="00B17A50"/>
    <w:rsid w:val="00B35373"/>
    <w:rsid w:val="00B400A4"/>
    <w:rsid w:val="00B63EFA"/>
    <w:rsid w:val="00B81ED6"/>
    <w:rsid w:val="00B86F61"/>
    <w:rsid w:val="00B926A0"/>
    <w:rsid w:val="00B92B64"/>
    <w:rsid w:val="00BB0064"/>
    <w:rsid w:val="00BB0BFF"/>
    <w:rsid w:val="00BB3886"/>
    <w:rsid w:val="00BC308E"/>
    <w:rsid w:val="00BC3504"/>
    <w:rsid w:val="00BD7045"/>
    <w:rsid w:val="00BF0C73"/>
    <w:rsid w:val="00C01699"/>
    <w:rsid w:val="00C03167"/>
    <w:rsid w:val="00C037E9"/>
    <w:rsid w:val="00C262E0"/>
    <w:rsid w:val="00C35928"/>
    <w:rsid w:val="00C42C0D"/>
    <w:rsid w:val="00C449ED"/>
    <w:rsid w:val="00C464EC"/>
    <w:rsid w:val="00C515C7"/>
    <w:rsid w:val="00C56272"/>
    <w:rsid w:val="00C64440"/>
    <w:rsid w:val="00C7271F"/>
    <w:rsid w:val="00C77574"/>
    <w:rsid w:val="00C82588"/>
    <w:rsid w:val="00C90922"/>
    <w:rsid w:val="00C9667F"/>
    <w:rsid w:val="00CA2214"/>
    <w:rsid w:val="00CA2A67"/>
    <w:rsid w:val="00CA3D22"/>
    <w:rsid w:val="00CB0276"/>
    <w:rsid w:val="00CB61F0"/>
    <w:rsid w:val="00CD175D"/>
    <w:rsid w:val="00CF2A06"/>
    <w:rsid w:val="00CF75FD"/>
    <w:rsid w:val="00D17A80"/>
    <w:rsid w:val="00D23C66"/>
    <w:rsid w:val="00D42698"/>
    <w:rsid w:val="00D639F9"/>
    <w:rsid w:val="00D63B50"/>
    <w:rsid w:val="00D64C0C"/>
    <w:rsid w:val="00D67827"/>
    <w:rsid w:val="00D71021"/>
    <w:rsid w:val="00D7274F"/>
    <w:rsid w:val="00D83BAA"/>
    <w:rsid w:val="00D92688"/>
    <w:rsid w:val="00D93257"/>
    <w:rsid w:val="00DD4238"/>
    <w:rsid w:val="00DF40C0"/>
    <w:rsid w:val="00DF5A48"/>
    <w:rsid w:val="00E2606D"/>
    <w:rsid w:val="00E260E6"/>
    <w:rsid w:val="00E32363"/>
    <w:rsid w:val="00E46015"/>
    <w:rsid w:val="00E6084D"/>
    <w:rsid w:val="00E72D6D"/>
    <w:rsid w:val="00E74668"/>
    <w:rsid w:val="00E746BA"/>
    <w:rsid w:val="00E76AC6"/>
    <w:rsid w:val="00E847CC"/>
    <w:rsid w:val="00EA26F3"/>
    <w:rsid w:val="00EA3AF9"/>
    <w:rsid w:val="00EA4B3B"/>
    <w:rsid w:val="00EA5C5F"/>
    <w:rsid w:val="00EB0ED7"/>
    <w:rsid w:val="00EC2779"/>
    <w:rsid w:val="00EC3FCB"/>
    <w:rsid w:val="00EC50AD"/>
    <w:rsid w:val="00ED6B42"/>
    <w:rsid w:val="00EF3867"/>
    <w:rsid w:val="00F03A79"/>
    <w:rsid w:val="00F20B06"/>
    <w:rsid w:val="00F26DB5"/>
    <w:rsid w:val="00F30B7E"/>
    <w:rsid w:val="00F42F74"/>
    <w:rsid w:val="00F50AC2"/>
    <w:rsid w:val="00F65873"/>
    <w:rsid w:val="00F7631D"/>
    <w:rsid w:val="00F76647"/>
    <w:rsid w:val="00F81B6B"/>
    <w:rsid w:val="00F83B9E"/>
    <w:rsid w:val="00F9137C"/>
    <w:rsid w:val="00F976BB"/>
    <w:rsid w:val="00FB2A30"/>
    <w:rsid w:val="00FD2FA2"/>
    <w:rsid w:val="00FD5472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C41CE0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32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32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2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20F"/>
    <w:rPr>
      <w:rFonts w:ascii="Segoe UI" w:hAnsi="Segoe UI" w:cs="Segoe UI"/>
      <w:sz w:val="18"/>
      <w:szCs w:val="18"/>
    </w:rPr>
  </w:style>
  <w:style w:type="paragraph" w:customStyle="1" w:styleId="LHbase-type11ptregular">
    <w:name w:val="LH_base-type 11pt regular"/>
    <w:qFormat/>
    <w:rsid w:val="00741D3A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741D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EE61-A114-442F-91C2-992357CD0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35D97-965F-485F-B765-E95F091059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B4571C-4456-453A-B35F-6414B49E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6CFFB8-EB93-49D7-B91D-8CF0EEBA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5978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11</cp:revision>
  <cp:lastPrinted>2022-03-07T07:41:00Z</cp:lastPrinted>
  <dcterms:created xsi:type="dcterms:W3CDTF">2022-03-21T10:11:00Z</dcterms:created>
  <dcterms:modified xsi:type="dcterms:W3CDTF">2022-04-06T07:52:00Z</dcterms:modified>
  <cp:category>Presseinformation</cp:category>
</cp:coreProperties>
</file>