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4F271" w14:textId="77777777" w:rsidR="00F62892" w:rsidRPr="007B3D19" w:rsidRDefault="00E847CC" w:rsidP="00E847CC">
      <w:pPr>
        <w:pStyle w:val="Topline16Pt"/>
      </w:pPr>
      <w:r>
        <w:t>Communiqué de presse</w:t>
      </w:r>
    </w:p>
    <w:p w14:paraId="2D95C493" w14:textId="042DC921" w:rsidR="00E847CC" w:rsidRPr="007B3D19" w:rsidRDefault="007B3D19" w:rsidP="00E847CC">
      <w:pPr>
        <w:pStyle w:val="HeadlineH233Pt"/>
        <w:spacing w:line="240" w:lineRule="auto"/>
        <w:rPr>
          <w:rFonts w:cs="Arial"/>
        </w:rPr>
      </w:pPr>
      <w:r>
        <w:t xml:space="preserve">Pompe à béton sur chenilles Liebherr pour travaux spéciaux de génie civil </w:t>
      </w:r>
      <w:r w:rsidR="0018533B">
        <w:t>à la</w:t>
      </w:r>
      <w:r>
        <w:t xml:space="preserve"> </w:t>
      </w:r>
      <w:proofErr w:type="spellStart"/>
      <w:r>
        <w:t>Bauma</w:t>
      </w:r>
      <w:proofErr w:type="spellEnd"/>
    </w:p>
    <w:p w14:paraId="65A307FA" w14:textId="77777777" w:rsidR="00B81ED6" w:rsidRPr="001F6805" w:rsidRDefault="00B81ED6" w:rsidP="00B81ED6">
      <w:pPr>
        <w:pStyle w:val="HeadlineH233Pt"/>
        <w:spacing w:before="240" w:after="240" w:line="140" w:lineRule="exact"/>
        <w:rPr>
          <w:rFonts w:ascii="Tahoma" w:hAnsi="Tahoma" w:cs="Tahoma"/>
        </w:rPr>
      </w:pPr>
      <w:r>
        <w:rPr>
          <w:rFonts w:ascii="Tahoma" w:hAnsi="Tahoma"/>
        </w:rPr>
        <w:t>⸺</w:t>
      </w:r>
    </w:p>
    <w:p w14:paraId="102D9591" w14:textId="6526FCFA" w:rsidR="006F7CAB" w:rsidRPr="00167F28" w:rsidRDefault="006F7CAB" w:rsidP="00537D48">
      <w:pPr>
        <w:pStyle w:val="Teaser11Pt"/>
        <w:rPr>
          <w:rFonts w:eastAsia="Calibri"/>
        </w:rPr>
      </w:pPr>
      <w:r>
        <w:t xml:space="preserve">À l’occasion du salon </w:t>
      </w:r>
      <w:r w:rsidR="0018533B">
        <w:t xml:space="preserve">de la </w:t>
      </w:r>
      <w:r>
        <w:t>Bauma à Munich, Liebherr présente une pompe à béton sur chenilles 110 D-K pour les travaux spéciaux de génie civil avec un</w:t>
      </w:r>
      <w:r>
        <w:rPr>
          <w:rStyle w:val="Hervorhebung"/>
          <w:i w:val="0"/>
          <w:iCs w:val="0"/>
          <w:shd w:val="clear" w:color="auto" w:fill="FFFFFF"/>
        </w:rPr>
        <w:t xml:space="preserve"> engin de battage et de forage</w:t>
      </w:r>
      <w:r>
        <w:t xml:space="preserve"> Liebherr de type LRB 23. Les deux engins fonctionnent souvent en tandem sur les chantiers. La pompe à béton sur chenilles mobile de Liebherr est particulièrement adaptée à une utilisation sur chantier avec changement de lieu fréquent à sa grande flexibilité. La pompe à béton montée sur un châssis à chenilles peut être commandée de manière pratique à l’aide d’une radiotélécommande.</w:t>
      </w:r>
    </w:p>
    <w:p w14:paraId="7AF7E272" w14:textId="52A44CD0" w:rsidR="006F7CAB" w:rsidRPr="00537D48" w:rsidRDefault="00390FF7" w:rsidP="00C526DC">
      <w:pPr>
        <w:pStyle w:val="Copytext11Pt"/>
      </w:pPr>
      <w:r>
        <w:t xml:space="preserve">Munich (Allemagne), 24 octobre 2022 – </w:t>
      </w:r>
      <w:r w:rsidR="0018533B">
        <w:rPr>
          <w:rStyle w:val="normaltextrun"/>
          <w:rFonts w:cs="Arial"/>
          <w:color w:val="000000"/>
          <w:szCs w:val="22"/>
          <w:shd w:val="clear" w:color="auto" w:fill="FFFFFF"/>
        </w:rPr>
        <w:t xml:space="preserve">La pompe à béton sur chenilles Liebherr est généralement utilisée dans les fondations à pieux forés pour alimenter un engin de forage avec du béton. Pour ce </w:t>
      </w:r>
      <w:r w:rsidR="0018533B" w:rsidRPr="0018533B">
        <w:rPr>
          <w:rStyle w:val="normaltextrun"/>
          <w:rFonts w:cs="Arial"/>
          <w:szCs w:val="22"/>
          <w:shd w:val="clear" w:color="auto" w:fill="FFFFFF"/>
        </w:rPr>
        <w:t xml:space="preserve">travail, des fondations jusqu’à 25 mètres sont forés pour préparer le terrain. Lors de la remontée de l’engin de forage, le trou est rempli </w:t>
      </w:r>
      <w:r w:rsidR="0018533B">
        <w:rPr>
          <w:rStyle w:val="normaltextrun"/>
          <w:rFonts w:cs="Arial"/>
          <w:color w:val="000000"/>
          <w:szCs w:val="22"/>
          <w:shd w:val="clear" w:color="auto" w:fill="FFFFFF"/>
        </w:rPr>
        <w:t>de béton. La pompe à béton sur chenilles se déplace parallèlement à l’engin de forage aux divers emplacements et le tuyau de béton reste raccordé à l’engin de forage. La pompe à béton sur chenilles de Liebherr est en outre également adaptée à divers autres types de pompages.</w:t>
      </w:r>
    </w:p>
    <w:p w14:paraId="2FB3C644" w14:textId="017836DD" w:rsidR="00C53CD1" w:rsidRPr="00167F28" w:rsidRDefault="00390FF7">
      <w:pPr>
        <w:pStyle w:val="Copyhead11Pt"/>
      </w:pPr>
      <w:r>
        <w:t>L’échange de données optimise les interventions sur le chantier</w:t>
      </w:r>
    </w:p>
    <w:p w14:paraId="6535CB3F" w14:textId="6D355909" w:rsidR="006F7CAB" w:rsidRPr="00EF3A78" w:rsidRDefault="0018533B" w:rsidP="00C526DC">
      <w:pPr>
        <w:pStyle w:val="Copytext11Pt"/>
      </w:pPr>
      <w:r w:rsidRPr="00EF3A78">
        <w:rPr>
          <w:rStyle w:val="normaltextrun"/>
        </w:rPr>
        <w:t>La pompe à béton sur chenilles et l’engin de forage sont reliés par radio et peuvent ainsi communiquer sur le chantier et échanger des informations. Les activités récurrentes de forage, d’extraction et de pompage peuvent ainsi être optimisées : le conducteur de l’engin de forage peut démarrer et arrêter très précisément l’opération de pompage directement depuis sa cabine de pilotage. Ceci permet des interventions plus faciles mais également une optimisation des temps et des couts de production.</w:t>
      </w:r>
    </w:p>
    <w:p w14:paraId="4357190C" w14:textId="464803ED" w:rsidR="00C53CD1" w:rsidRPr="007B3D19" w:rsidRDefault="006F7CAB" w:rsidP="00C53CD1">
      <w:pPr>
        <w:pStyle w:val="Copyhead11Pt"/>
        <w:spacing w:before="240"/>
      </w:pPr>
      <w:r>
        <w:t>Deux modèles haute qualité : robuste, performante et facile à entretenir</w:t>
      </w:r>
    </w:p>
    <w:p w14:paraId="7CBC4168" w14:textId="5F5EE80E" w:rsidR="006F7CAB" w:rsidRDefault="0018533B" w:rsidP="00C526DC">
      <w:pPr>
        <w:pStyle w:val="Copytext11Pt"/>
      </w:pPr>
      <w:r w:rsidRPr="0018533B">
        <w:rPr>
          <w:rStyle w:val="normaltextrun"/>
          <w:rFonts w:cs="Arial"/>
          <w:szCs w:val="22"/>
          <w:shd w:val="clear" w:color="auto" w:fill="FFFFFF"/>
        </w:rPr>
        <w:t xml:space="preserve">La pompe à béton sur chenilles robuste est disponible dans deux classes de puissance, la THS 110 D-K et la THS 140 D-K. La version la plus puissante a un débit de 135 m³ par heure. Les deux types sont équipés de moteurs six cylindres puissants répondant aux dernières normes d’émissions en vigueur. Les pompes performantes se caractérisent par un fonctionnement </w:t>
      </w:r>
      <w:r w:rsidRPr="00C526DC">
        <w:rPr>
          <w:rStyle w:val="normaltextrun"/>
        </w:rPr>
        <w:t>silencieux</w:t>
      </w:r>
      <w:r w:rsidRPr="0018533B">
        <w:rPr>
          <w:rStyle w:val="normaltextrun"/>
          <w:rFonts w:cs="Arial"/>
          <w:szCs w:val="22"/>
          <w:shd w:val="clear" w:color="auto" w:fill="FFFFFF"/>
        </w:rPr>
        <w:t xml:space="preserve"> et une très bonne capacité d’aspiration. Le système hydraulique est particulièrement facile à entretenir grâce à son circuit hydraulique ouvert. </w:t>
      </w:r>
      <w:proofErr w:type="gramStart"/>
      <w:r w:rsidRPr="0018533B">
        <w:rPr>
          <w:rStyle w:val="normaltextrun"/>
          <w:rFonts w:cs="Arial"/>
          <w:szCs w:val="22"/>
          <w:shd w:val="clear" w:color="auto" w:fill="FFFFFF"/>
        </w:rPr>
        <w:t>De par</w:t>
      </w:r>
      <w:proofErr w:type="gramEnd"/>
      <w:r w:rsidRPr="0018533B">
        <w:rPr>
          <w:rStyle w:val="normaltextrun"/>
          <w:rFonts w:cs="Arial"/>
          <w:szCs w:val="22"/>
          <w:shd w:val="clear" w:color="auto" w:fill="FFFFFF"/>
        </w:rPr>
        <w:t xml:space="preserve"> la conception originale le remplacement des pièces d’usure, est simplifie et réduits considérablement les temps d’entretiens. La forme de la trémie de remplissage sans arêtes vives facilite significativement le nettoyage en fin d’opération de pompage. </w:t>
      </w:r>
      <w:r w:rsidR="006F7CAB" w:rsidRPr="0018533B">
        <w:t xml:space="preserve">L’équipement complet de la machine comprend également, entre autres, un grand réservoir d'eau </w:t>
      </w:r>
      <w:r w:rsidR="006F7CAB">
        <w:t xml:space="preserve">de 500 litres avec pompe à eau et </w:t>
      </w:r>
      <w:r w:rsidR="006F7CAB">
        <w:lastRenderedPageBreak/>
        <w:t>boîte à outils verrouillable. Le design haute qualité, qui se caractérise par des surfaces lisses et faciles à nettoyer, complète le concept global des deux machines.</w:t>
      </w:r>
    </w:p>
    <w:p w14:paraId="61AA6DD9" w14:textId="50047311" w:rsidR="009A3D17" w:rsidRDefault="00942A80" w:rsidP="00C526DC">
      <w:pPr>
        <w:pStyle w:val="Copytext11Pt"/>
      </w:pPr>
      <w:r>
        <w:t xml:space="preserve">Vous trouverez également ici de plus amples détails sur l’excellente collaboration entre la pompe à béton sur chenilles et </w:t>
      </w:r>
      <w:r>
        <w:rPr>
          <w:rStyle w:val="Hervorhebung"/>
          <w:i w:val="0"/>
          <w:iCs w:val="0"/>
          <w:shd w:val="clear" w:color="auto" w:fill="FFFFFF"/>
        </w:rPr>
        <w:t xml:space="preserve">l’engin de battage </w:t>
      </w:r>
      <w:r w:rsidRPr="00C526DC">
        <w:rPr>
          <w:rStyle w:val="Hervorhebung"/>
          <w:i w:val="0"/>
          <w:iCs w:val="0"/>
        </w:rPr>
        <w:t>et</w:t>
      </w:r>
      <w:r>
        <w:rPr>
          <w:rStyle w:val="Hervorhebung"/>
          <w:i w:val="0"/>
          <w:iCs w:val="0"/>
          <w:shd w:val="clear" w:color="auto" w:fill="FFFFFF"/>
        </w:rPr>
        <w:t xml:space="preserve"> de forage</w:t>
      </w:r>
      <w:r w:rsidR="00F45BCC">
        <w:rPr>
          <w:rStyle w:val="Hervorhebung"/>
          <w:i w:val="0"/>
          <w:iCs w:val="0"/>
          <w:shd w:val="clear" w:color="auto" w:fill="FFFFFF"/>
        </w:rPr>
        <w:t xml:space="preserve"> : </w:t>
      </w:r>
      <w:r>
        <w:t xml:space="preserve"> </w:t>
      </w:r>
      <w:hyperlink r:id="rId11" w:history="1">
        <w:r w:rsidR="00F45BCC" w:rsidRPr="00F45BCC">
          <w:rPr>
            <w:rStyle w:val="Hyperlink"/>
            <w:rFonts w:cs="Arial"/>
            <w:szCs w:val="22"/>
          </w:rPr>
          <w:t>https://www.liebherr.com/dreamteam</w:t>
        </w:r>
      </w:hyperlink>
    </w:p>
    <w:p w14:paraId="792A4F2C" w14:textId="3290AB42" w:rsidR="00671DE1" w:rsidRPr="00DE6E5C" w:rsidRDefault="00671DE1" w:rsidP="00671DE1">
      <w:pPr>
        <w:pStyle w:val="BoilerplateCopyhead9Pt"/>
      </w:pPr>
      <w:r>
        <w:t>À propos de Liebherr-</w:t>
      </w:r>
      <w:proofErr w:type="spellStart"/>
      <w:r>
        <w:t>Mischtechnik</w:t>
      </w:r>
      <w:proofErr w:type="spellEnd"/>
      <w:r>
        <w:t xml:space="preserve"> </w:t>
      </w:r>
      <w:proofErr w:type="spellStart"/>
      <w:r>
        <w:t>GmbH</w:t>
      </w:r>
      <w:proofErr w:type="spellEnd"/>
    </w:p>
    <w:p w14:paraId="672C30A9" w14:textId="77777777" w:rsidR="00671DE1" w:rsidRDefault="00671DE1" w:rsidP="00671DE1">
      <w:pPr>
        <w:pStyle w:val="BoilerplateCopytext9Pt"/>
      </w:pPr>
      <w:r>
        <w:t>Liebherr-</w:t>
      </w:r>
      <w:proofErr w:type="spellStart"/>
      <w:r>
        <w:t>Mischtechnik</w:t>
      </w:r>
      <w:proofErr w:type="spellEnd"/>
      <w:r>
        <w:t xml:space="preserve"> </w:t>
      </w:r>
      <w:proofErr w:type="spellStart"/>
      <w:r>
        <w:t>GmbH</w:t>
      </w:r>
      <w:proofErr w:type="spellEnd"/>
      <w:r>
        <w:t xml:space="preserve"> est un fabricant et fournisseur international de centrales à béton, pompes à béton et bétonnières portées haut de gamme. L’entreprise appartient au groupe Liebherr et son siège se trouve à Bad </w:t>
      </w:r>
      <w:proofErr w:type="spellStart"/>
      <w:r>
        <w:t>Schussenried</w:t>
      </w:r>
      <w:proofErr w:type="spellEnd"/>
      <w:r>
        <w:t>, en Allemagne.</w:t>
      </w:r>
    </w:p>
    <w:p w14:paraId="2553AFF8" w14:textId="77777777" w:rsidR="00671DE1" w:rsidRDefault="00671DE1" w:rsidP="00EF3A78">
      <w:pPr>
        <w:pStyle w:val="BoilerplateCopyhead9Pt"/>
      </w:pPr>
      <w:r>
        <w:t>À propos du Groupe Liebherr</w:t>
      </w:r>
    </w:p>
    <w:p w14:paraId="40525932" w14:textId="33E3D479" w:rsidR="00671DE1" w:rsidRPr="002C3350" w:rsidRDefault="00EF3A78" w:rsidP="00EF3A78">
      <w:pPr>
        <w:pStyle w:val="BoilerplateCopytext9Pt"/>
      </w:pPr>
      <w:r w:rsidRPr="00EF3A78">
        <w:t xml:space="preserve">Le Groupe Liebherr est une entreprise technologique familiale proposant une gamme de produits très diversifiée. L'entreprise figure parmi les plus grands fabricants mondiaux d’engins de construction. Elle offre également dans de nombreux autres domaines des produits et services haut de </w:t>
      </w:r>
      <w:proofErr w:type="gramStart"/>
      <w:r w:rsidRPr="00EF3A78">
        <w:t>gamme axés</w:t>
      </w:r>
      <w:proofErr w:type="gramEnd"/>
      <w:r w:rsidRPr="00EF3A78">
        <w:t xml:space="preserve"> sur les besoins des utilisateurs. Le Groupe compte aujourd'hui plus de 140 sociétés sur tous les continents. En 2021, il a employé plus de 49 000 personnes et a enregistré un chiffre d'affaires consolidé de plus de 11,6 milliards d'euros. Liebherr a été fondé en 1949 à </w:t>
      </w:r>
      <w:proofErr w:type="spellStart"/>
      <w:r w:rsidRPr="00EF3A78">
        <w:t>Kirchdorf</w:t>
      </w:r>
      <w:proofErr w:type="spellEnd"/>
      <w:r w:rsidRPr="00EF3A78">
        <w:t xml:space="preserve"> an der Iller, dans le sud de l'Allemagne. Depuis, les employés ont pour objectif de convaincre leurs clients par des solutions exigeantes tout en contribuant au progrès technologique.</w:t>
      </w:r>
    </w:p>
    <w:p w14:paraId="62450F59" w14:textId="783C4AEC" w:rsidR="009A3D17" w:rsidRPr="008B5AF8" w:rsidRDefault="00EF3A78" w:rsidP="00EF3A78">
      <w:pPr>
        <w:pStyle w:val="Copyhead11Pt"/>
        <w:spacing w:before="240"/>
      </w:pPr>
      <w:r>
        <w:t>Images</w:t>
      </w:r>
    </w:p>
    <w:p w14:paraId="0E6AAA4B" w14:textId="3DAA1FBD" w:rsidR="009A3D17" w:rsidRPr="008B5AF8" w:rsidRDefault="006F7CAB" w:rsidP="009A3D17">
      <w:r>
        <w:rPr>
          <w:noProof/>
          <w:lang w:val="de-DE"/>
        </w:rPr>
        <w:drawing>
          <wp:inline distT="0" distB="0" distL="0" distR="0" wp14:anchorId="3B600452" wp14:editId="15F48E30">
            <wp:extent cx="2867558" cy="1757749"/>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0905" cy="1784320"/>
                    </a:xfrm>
                    <a:prstGeom prst="rect">
                      <a:avLst/>
                    </a:prstGeom>
                  </pic:spPr>
                </pic:pic>
              </a:graphicData>
            </a:graphic>
          </wp:inline>
        </w:drawing>
      </w:r>
    </w:p>
    <w:p w14:paraId="35A841E0" w14:textId="5066D6A9" w:rsidR="00121DF9" w:rsidRPr="005618E9" w:rsidRDefault="00F45BCC" w:rsidP="00121DF9">
      <w:pPr>
        <w:pStyle w:val="Caption9Pt"/>
      </w:pPr>
      <w:bookmarkStart w:id="0" w:name="_Hlk103152070"/>
      <w:r w:rsidRPr="00F45BCC">
        <w:t>liebherr-crawler-concrete-pump</w:t>
      </w:r>
      <w:r w:rsidR="00121DF9">
        <w:t>.jpg</w:t>
      </w:r>
      <w:bookmarkEnd w:id="0"/>
      <w:r w:rsidR="00121DF9">
        <w:br/>
        <w:t>Pompe à béton sur chenilles Liebherr THS 110 D-K avec engin de forage Liebherr.</w:t>
      </w:r>
    </w:p>
    <w:p w14:paraId="30AB0C5B" w14:textId="77777777" w:rsidR="001F4A5C" w:rsidRPr="00BA1DEA" w:rsidRDefault="001F4A5C" w:rsidP="001F4A5C">
      <w:pPr>
        <w:pStyle w:val="Copyhead11Pt"/>
        <w:spacing w:before="240"/>
      </w:pPr>
      <w:r>
        <w:t>Contact</w:t>
      </w:r>
    </w:p>
    <w:p w14:paraId="78F3B8BA" w14:textId="77777777" w:rsidR="00EF3A78" w:rsidRDefault="001F4A5C" w:rsidP="00EF3A78">
      <w:pPr>
        <w:pStyle w:val="Copytext11Pt"/>
        <w:rPr>
          <w:rStyle w:val="Hyperlink"/>
          <w:color w:val="auto"/>
          <w:u w:val="none"/>
        </w:rPr>
      </w:pPr>
      <w:r w:rsidRPr="00C7032B">
        <w:t>Klaus Eckert</w:t>
      </w:r>
      <w:r>
        <w:br/>
        <w:t>Directeur de la promotion des ventes</w:t>
      </w:r>
      <w:r>
        <w:br/>
        <w:t>Téléphone : +49 7583 949-328</w:t>
      </w:r>
      <w:r>
        <w:br/>
      </w:r>
      <w:proofErr w:type="gramStart"/>
      <w:r>
        <w:t>E-mail</w:t>
      </w:r>
      <w:proofErr w:type="gramEnd"/>
      <w:r>
        <w:t> :</w:t>
      </w:r>
      <w:r w:rsidRPr="00002AD4">
        <w:t xml:space="preserve"> </w:t>
      </w:r>
      <w:hyperlink r:id="rId13" w:history="1">
        <w:r w:rsidRPr="00002AD4">
          <w:rPr>
            <w:rStyle w:val="Hyperlink"/>
            <w:color w:val="auto"/>
            <w:u w:val="none"/>
          </w:rPr>
          <w:t>klaus.eckert@liebherr.com</w:t>
        </w:r>
      </w:hyperlink>
    </w:p>
    <w:p w14:paraId="507C2DF9" w14:textId="6DABF570" w:rsidR="001F4A5C" w:rsidRPr="00EF3A78" w:rsidRDefault="001F4A5C" w:rsidP="00EF3A78">
      <w:pPr>
        <w:pStyle w:val="Copyhead11Pt"/>
      </w:pPr>
      <w:r w:rsidRPr="00EF3A78">
        <w:t>Publié par</w:t>
      </w:r>
    </w:p>
    <w:p w14:paraId="32EBBB9C" w14:textId="482CE467" w:rsidR="00B81ED6" w:rsidRPr="001F4A5C" w:rsidRDefault="001F4A5C" w:rsidP="006F7CAB">
      <w:pPr>
        <w:pStyle w:val="Copytext11Pt"/>
        <w:rPr>
          <w:lang w:val="de-DE"/>
        </w:rPr>
      </w:pPr>
      <w:r w:rsidRPr="00C73AFB">
        <w:rPr>
          <w:lang w:val="de-DE"/>
        </w:rPr>
        <w:t xml:space="preserve">Liebherr-Mischtechnik GmbH </w:t>
      </w:r>
      <w:r w:rsidRPr="00C73AFB">
        <w:rPr>
          <w:lang w:val="de-DE"/>
        </w:rPr>
        <w:br/>
        <w:t xml:space="preserve">Bad Schussenried / </w:t>
      </w:r>
      <w:proofErr w:type="spellStart"/>
      <w:r w:rsidRPr="00C73AFB">
        <w:rPr>
          <w:lang w:val="de-DE"/>
        </w:rPr>
        <w:t>Allemagne</w:t>
      </w:r>
      <w:proofErr w:type="spellEnd"/>
      <w:r w:rsidRPr="00C73AFB">
        <w:rPr>
          <w:lang w:val="de-DE"/>
        </w:rPr>
        <w:br/>
      </w:r>
      <w:hyperlink r:id="rId14" w:history="1">
        <w:r w:rsidRPr="00C73AFB">
          <w:rPr>
            <w:lang w:val="de-DE"/>
          </w:rPr>
          <w:t>www.liebherr.com</w:t>
        </w:r>
      </w:hyperlink>
    </w:p>
    <w:sectPr w:rsidR="00B81ED6" w:rsidRPr="001F4A5C" w:rsidSect="00E847CC">
      <w:headerReference w:type="default" r:id="rId15"/>
      <w:footerReference w:type="default" r:id="rId16"/>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ED361" w14:textId="77777777" w:rsidR="000B0FAB" w:rsidRDefault="000B0FAB" w:rsidP="00B81ED6">
      <w:pPr>
        <w:spacing w:after="0" w:line="240" w:lineRule="auto"/>
      </w:pPr>
      <w:r>
        <w:separator/>
      </w:r>
    </w:p>
  </w:endnote>
  <w:endnote w:type="continuationSeparator" w:id="0">
    <w:p w14:paraId="619BD21F" w14:textId="77777777" w:rsidR="000B0FAB" w:rsidRDefault="000B0FAB"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ebherrText-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9EA5" w14:textId="6783386F"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F45BCC">
      <w:rPr>
        <w:rFonts w:ascii="Arial" w:hAnsi="Arial" w:cs="Arial"/>
        <w:noProof/>
      </w:rPr>
      <w:instrText>2</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F45BCC">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F45BCC">
      <w:rPr>
        <w:rFonts w:ascii="Arial" w:hAnsi="Arial" w:cs="Arial"/>
        <w:noProof/>
      </w:rPr>
      <w:instrText>2</w:instrText>
    </w:r>
    <w:r w:rsidRPr="0093605C">
      <w:rPr>
        <w:rFonts w:ascii="Arial" w:hAnsi="Arial" w:cs="Arial"/>
      </w:rPr>
      <w:fldChar w:fldCharType="end"/>
    </w:r>
    <w:r w:rsidRPr="0093605C">
      <w:rPr>
        <w:rFonts w:ascii="Arial" w:hAnsi="Arial" w:cs="Arial"/>
      </w:rPr>
      <w:instrText xml:space="preserve">" "" </w:instrText>
    </w:r>
    <w:r w:rsidR="00F45BCC">
      <w:rPr>
        <w:rFonts w:ascii="Arial" w:hAnsi="Arial" w:cs="Arial"/>
      </w:rPr>
      <w:fldChar w:fldCharType="separate"/>
    </w:r>
    <w:r w:rsidR="00F45BCC">
      <w:rPr>
        <w:rFonts w:ascii="Arial" w:hAnsi="Arial" w:cs="Arial"/>
        <w:noProof/>
      </w:rPr>
      <w:t>2</w:t>
    </w:r>
    <w:r w:rsidR="00F45BCC" w:rsidRPr="0093605C">
      <w:rPr>
        <w:rFonts w:ascii="Arial" w:hAnsi="Arial" w:cs="Arial"/>
        <w:noProof/>
      </w:rPr>
      <w:t>/</w:t>
    </w:r>
    <w:r w:rsidR="00F45BCC">
      <w:rPr>
        <w:rFonts w:ascii="Arial" w:hAnsi="Arial" w:cs="Arial"/>
        <w:noProof/>
      </w:rPr>
      <w:t>2</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1616E" w14:textId="77777777" w:rsidR="000B0FAB" w:rsidRDefault="000B0FAB" w:rsidP="00B81ED6">
      <w:pPr>
        <w:spacing w:after="0" w:line="240" w:lineRule="auto"/>
      </w:pPr>
      <w:r>
        <w:separator/>
      </w:r>
    </w:p>
  </w:footnote>
  <w:footnote w:type="continuationSeparator" w:id="0">
    <w:p w14:paraId="037431A3" w14:textId="77777777" w:rsidR="000B0FAB" w:rsidRDefault="000B0FAB"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705D" w14:textId="77777777" w:rsidR="00E847CC" w:rsidRDefault="00E847CC">
    <w:pPr>
      <w:pStyle w:val="Kopfzeile"/>
    </w:pPr>
    <w:r>
      <w:tab/>
    </w:r>
    <w:r>
      <w:tab/>
    </w:r>
    <w:r>
      <w:ptab w:relativeTo="margin" w:alignment="right" w:leader="none"/>
    </w:r>
    <w:r>
      <w:rPr>
        <w:noProof/>
        <w:lang w:val="de-DE"/>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1DA2F44"/>
    <w:multiLevelType w:val="hybridMultilevel"/>
    <w:tmpl w:val="8D80D662"/>
    <w:lvl w:ilvl="0" w:tplc="1172AD80">
      <w:numFmt w:val="bullet"/>
      <w:lvlText w:val="-"/>
      <w:lvlJc w:val="left"/>
      <w:pPr>
        <w:ind w:left="720" w:hanging="360"/>
      </w:pPr>
      <w:rPr>
        <w:rFonts w:ascii="LiebherrText-Bold" w:eastAsiaTheme="minorHAnsi" w:hAnsi="LiebherrText-Bold" w:cs="LiebherrText-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num w:numId="1">
    <w:abstractNumId w:val="0"/>
  </w:num>
  <w:num w:numId="2">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33002"/>
    <w:rsid w:val="00037A9C"/>
    <w:rsid w:val="00040ED3"/>
    <w:rsid w:val="000508E4"/>
    <w:rsid w:val="00066E54"/>
    <w:rsid w:val="000B0FAB"/>
    <w:rsid w:val="000E3C3F"/>
    <w:rsid w:val="00121DF9"/>
    <w:rsid w:val="001419B4"/>
    <w:rsid w:val="00145DB7"/>
    <w:rsid w:val="00167F28"/>
    <w:rsid w:val="0018533B"/>
    <w:rsid w:val="001A1AD7"/>
    <w:rsid w:val="001E5A76"/>
    <w:rsid w:val="001F4A5C"/>
    <w:rsid w:val="00253D48"/>
    <w:rsid w:val="002B44E1"/>
    <w:rsid w:val="002C3350"/>
    <w:rsid w:val="002C4C76"/>
    <w:rsid w:val="00327624"/>
    <w:rsid w:val="00345318"/>
    <w:rsid w:val="00347E40"/>
    <w:rsid w:val="003524D2"/>
    <w:rsid w:val="00390FF7"/>
    <w:rsid w:val="003936A6"/>
    <w:rsid w:val="003D0FA3"/>
    <w:rsid w:val="003E6B40"/>
    <w:rsid w:val="00530CBE"/>
    <w:rsid w:val="00537D48"/>
    <w:rsid w:val="00556698"/>
    <w:rsid w:val="0056200B"/>
    <w:rsid w:val="0058695F"/>
    <w:rsid w:val="00652E53"/>
    <w:rsid w:val="00671DE1"/>
    <w:rsid w:val="006F7CAB"/>
    <w:rsid w:val="00747169"/>
    <w:rsid w:val="00761197"/>
    <w:rsid w:val="007A4E00"/>
    <w:rsid w:val="007B3D19"/>
    <w:rsid w:val="007C2DD9"/>
    <w:rsid w:val="007F2586"/>
    <w:rsid w:val="00807BC1"/>
    <w:rsid w:val="0081738D"/>
    <w:rsid w:val="00824226"/>
    <w:rsid w:val="008326D4"/>
    <w:rsid w:val="00842659"/>
    <w:rsid w:val="00893D1C"/>
    <w:rsid w:val="00913E4D"/>
    <w:rsid w:val="009169F9"/>
    <w:rsid w:val="0093605C"/>
    <w:rsid w:val="00942A80"/>
    <w:rsid w:val="00965077"/>
    <w:rsid w:val="009A3D17"/>
    <w:rsid w:val="009B2694"/>
    <w:rsid w:val="00A24F4D"/>
    <w:rsid w:val="00A261BF"/>
    <w:rsid w:val="00A57622"/>
    <w:rsid w:val="00AB5A1E"/>
    <w:rsid w:val="00AC2129"/>
    <w:rsid w:val="00AF1F99"/>
    <w:rsid w:val="00B24DE6"/>
    <w:rsid w:val="00B451A7"/>
    <w:rsid w:val="00B81ED6"/>
    <w:rsid w:val="00B82B27"/>
    <w:rsid w:val="00BB0BFF"/>
    <w:rsid w:val="00BD171E"/>
    <w:rsid w:val="00BD7045"/>
    <w:rsid w:val="00C40FB9"/>
    <w:rsid w:val="00C464EC"/>
    <w:rsid w:val="00C526DC"/>
    <w:rsid w:val="00C53CD1"/>
    <w:rsid w:val="00C77574"/>
    <w:rsid w:val="00D63B50"/>
    <w:rsid w:val="00DF40C0"/>
    <w:rsid w:val="00DF4FAD"/>
    <w:rsid w:val="00E146DD"/>
    <w:rsid w:val="00E260E6"/>
    <w:rsid w:val="00E32363"/>
    <w:rsid w:val="00E40FB5"/>
    <w:rsid w:val="00E847CC"/>
    <w:rsid w:val="00EA26F3"/>
    <w:rsid w:val="00EC10B9"/>
    <w:rsid w:val="00EE18FA"/>
    <w:rsid w:val="00EF3A78"/>
    <w:rsid w:val="00F45BCC"/>
    <w:rsid w:val="00F9384E"/>
    <w:rsid w:val="00FC32B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fr-FR"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fr-FR"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fr-FR"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fr-FR" w:eastAsia="de-DE"/>
    </w:rPr>
  </w:style>
  <w:style w:type="character" w:customStyle="1" w:styleId="Teaser11PtZchn">
    <w:name w:val="Teaser 11Pt Zchn"/>
    <w:basedOn w:val="Absatz-Standardschriftart"/>
    <w:link w:val="Teaser11Pt"/>
    <w:rsid w:val="00B81ED6"/>
    <w:rPr>
      <w:rFonts w:ascii="Arial" w:hAnsi="Arial"/>
      <w:b/>
      <w:noProof/>
      <w:lang w:val="fr-FR"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fr-FR"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fr-FR"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fr-FR"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styleId="Listenabsatz">
    <w:name w:val="List Paragraph"/>
    <w:basedOn w:val="Standard"/>
    <w:uiPriority w:val="34"/>
    <w:qFormat/>
    <w:rsid w:val="007B3D19"/>
    <w:pPr>
      <w:ind w:left="720"/>
      <w:contextualSpacing/>
    </w:pPr>
    <w:rPr>
      <w:rFonts w:eastAsiaTheme="minorHAnsi"/>
      <w:lang w:eastAsia="en-US"/>
    </w:rPr>
  </w:style>
  <w:style w:type="character" w:styleId="Kommentarzeichen">
    <w:name w:val="annotation reference"/>
    <w:basedOn w:val="Absatz-Standardschriftart"/>
    <w:uiPriority w:val="99"/>
    <w:semiHidden/>
    <w:unhideWhenUsed/>
    <w:rsid w:val="00C53CD1"/>
    <w:rPr>
      <w:sz w:val="16"/>
      <w:szCs w:val="16"/>
    </w:rPr>
  </w:style>
  <w:style w:type="paragraph" w:styleId="Kommentartext">
    <w:name w:val="annotation text"/>
    <w:basedOn w:val="Standard"/>
    <w:link w:val="KommentartextZchn"/>
    <w:uiPriority w:val="99"/>
    <w:semiHidden/>
    <w:unhideWhenUsed/>
    <w:rsid w:val="00C53CD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53CD1"/>
    <w:rPr>
      <w:sz w:val="20"/>
      <w:szCs w:val="20"/>
    </w:rPr>
  </w:style>
  <w:style w:type="paragraph" w:customStyle="1" w:styleId="Press3-Body">
    <w:name w:val="Press 3 - Body"/>
    <w:basedOn w:val="Standard"/>
    <w:autoRedefine/>
    <w:qFormat/>
    <w:rsid w:val="006F7CAB"/>
    <w:pPr>
      <w:spacing w:after="360" w:line="276" w:lineRule="auto"/>
    </w:pPr>
    <w:rPr>
      <w:rFonts w:ascii="Arial" w:eastAsia="Times New Roman" w:hAnsi="Arial" w:cs="Times New Roman"/>
      <w:color w:val="000000"/>
      <w:lang w:eastAsia="de-DE"/>
    </w:rPr>
  </w:style>
  <w:style w:type="character" w:styleId="Hervorhebung">
    <w:name w:val="Emphasis"/>
    <w:basedOn w:val="Absatz-Standardschriftart"/>
    <w:uiPriority w:val="20"/>
    <w:qFormat/>
    <w:rsid w:val="006F7CAB"/>
    <w:rPr>
      <w:i/>
      <w:iCs/>
    </w:rPr>
  </w:style>
  <w:style w:type="paragraph" w:customStyle="1" w:styleId="Press2-SubHeadline">
    <w:name w:val="Press 2 - Sub Headline"/>
    <w:basedOn w:val="Press3-Body"/>
    <w:next w:val="Press3-Body"/>
    <w:autoRedefine/>
    <w:qFormat/>
    <w:rsid w:val="006F7CAB"/>
    <w:pPr>
      <w:keepNext/>
      <w:spacing w:line="240" w:lineRule="auto"/>
      <w:outlineLvl w:val="1"/>
    </w:pPr>
    <w:rPr>
      <w:b/>
      <w:sz w:val="24"/>
      <w:szCs w:val="24"/>
    </w:rPr>
  </w:style>
  <w:style w:type="paragraph" w:styleId="Kommentarthema">
    <w:name w:val="annotation subject"/>
    <w:basedOn w:val="Kommentartext"/>
    <w:next w:val="Kommentartext"/>
    <w:link w:val="KommentarthemaZchn"/>
    <w:uiPriority w:val="99"/>
    <w:semiHidden/>
    <w:unhideWhenUsed/>
    <w:rsid w:val="00C40FB9"/>
    <w:rPr>
      <w:b/>
      <w:bCs/>
    </w:rPr>
  </w:style>
  <w:style w:type="character" w:customStyle="1" w:styleId="KommentarthemaZchn">
    <w:name w:val="Kommentarthema Zchn"/>
    <w:basedOn w:val="KommentartextZchn"/>
    <w:link w:val="Kommentarthema"/>
    <w:uiPriority w:val="99"/>
    <w:semiHidden/>
    <w:rsid w:val="00C40FB9"/>
    <w:rPr>
      <w:b/>
      <w:bCs/>
      <w:sz w:val="20"/>
      <w:szCs w:val="20"/>
    </w:rPr>
  </w:style>
  <w:style w:type="paragraph" w:styleId="Sprechblasentext">
    <w:name w:val="Balloon Text"/>
    <w:basedOn w:val="Standard"/>
    <w:link w:val="SprechblasentextZchn"/>
    <w:uiPriority w:val="99"/>
    <w:semiHidden/>
    <w:unhideWhenUsed/>
    <w:rsid w:val="00C40FB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40FB9"/>
    <w:rPr>
      <w:rFonts w:ascii="Segoe UI" w:hAnsi="Segoe UI" w:cs="Segoe UI"/>
      <w:sz w:val="18"/>
      <w:szCs w:val="18"/>
    </w:rPr>
  </w:style>
  <w:style w:type="paragraph" w:styleId="berarbeitung">
    <w:name w:val="Revision"/>
    <w:hidden/>
    <w:uiPriority w:val="99"/>
    <w:semiHidden/>
    <w:rsid w:val="00537D48"/>
    <w:pPr>
      <w:spacing w:after="0" w:line="240" w:lineRule="auto"/>
    </w:pPr>
  </w:style>
  <w:style w:type="paragraph" w:customStyle="1" w:styleId="LHbase-type11ptbold">
    <w:name w:val="LH_base-type 11pt bold"/>
    <w:basedOn w:val="Standard"/>
    <w:qFormat/>
    <w:rsid w:val="00671DE1"/>
    <w:pPr>
      <w:tabs>
        <w:tab w:val="left" w:pos="1247"/>
        <w:tab w:val="left" w:pos="2892"/>
        <w:tab w:val="left" w:pos="4366"/>
        <w:tab w:val="left" w:pos="6804"/>
      </w:tabs>
      <w:spacing w:after="0" w:line="360" w:lineRule="auto"/>
      <w:outlineLvl w:val="0"/>
    </w:pPr>
    <w:rPr>
      <w:rFonts w:ascii="Arial" w:eastAsia="Times New Roman" w:hAnsi="Arial" w:cs="Times New Roman"/>
      <w:b/>
      <w:szCs w:val="20"/>
      <w:lang w:eastAsia="de-DE"/>
    </w:rPr>
  </w:style>
  <w:style w:type="character" w:customStyle="1" w:styleId="normaltextrun">
    <w:name w:val="normaltextrun"/>
    <w:basedOn w:val="Absatz-Standardschriftart"/>
    <w:rsid w:val="0018533B"/>
  </w:style>
  <w:style w:type="character" w:customStyle="1" w:styleId="eop">
    <w:name w:val="eop"/>
    <w:basedOn w:val="Absatz-Standardschriftart"/>
    <w:rsid w:val="001853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42784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laus.eckert@liebher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ebherr.com/dreamtea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ebher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A09A89-35E2-4BD3-B312-60C067A81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61BE7A1-34DB-4361-AEF3-6E5FFB55F7AA}">
  <ds:schemaRefs>
    <ds:schemaRef ds:uri="http://schemas.openxmlformats.org/officeDocument/2006/bibliography"/>
  </ds:schemaRefs>
</ds:datastoreItem>
</file>

<file path=customXml/itemProps3.xml><?xml version="1.0" encoding="utf-8"?>
<ds:datastoreItem xmlns:ds="http://schemas.openxmlformats.org/officeDocument/2006/customXml" ds:itemID="{56507170-383D-4854-89B9-DD49A99FA55B}">
  <ds:schemaRefs>
    <ds:schemaRef ds:uri="http://purl.org/dc/terms/"/>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67B05DC0-EB48-46CF-B316-2D13C749D1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648</Words>
  <Characters>4086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Merker Anja (LHO)</cp:lastModifiedBy>
  <cp:revision>4</cp:revision>
  <dcterms:created xsi:type="dcterms:W3CDTF">2022-10-04T14:51:00Z</dcterms:created>
  <dcterms:modified xsi:type="dcterms:W3CDTF">2022-10-21T13:26:00Z</dcterms:modified>
  <cp:category>Presseinformation</cp:category>
</cp:coreProperties>
</file>