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7C72" w14:textId="37E2DA0F" w:rsidR="003D54CC" w:rsidRPr="001A0270" w:rsidRDefault="00E847CC" w:rsidP="00E847CC">
      <w:pPr>
        <w:pStyle w:val="Topline16Pt"/>
        <w:rPr>
          <w:rFonts w:cs="Arial"/>
        </w:rPr>
      </w:pPr>
      <w:r>
        <w:t>Comunicado de imprensa</w:t>
      </w:r>
    </w:p>
    <w:p w14:paraId="00AA5BB0" w14:textId="193EF542" w:rsidR="00D5344B" w:rsidRPr="008A4956" w:rsidRDefault="008A4956" w:rsidP="00E847CC">
      <w:pPr>
        <w:pStyle w:val="HeadlineH233Pt"/>
        <w:spacing w:line="240" w:lineRule="auto"/>
        <w:rPr>
          <w:rFonts w:cs="Arial"/>
        </w:rPr>
      </w:pPr>
      <w:r>
        <w:t xml:space="preserve">The toughest in the roughest: A Liebherr expande o portfólio de guindastes </w:t>
      </w:r>
      <w:bookmarkStart w:id="0" w:name="_Hlk114800784"/>
      <w:r w:rsidR="00372E4E">
        <w:t>R</w:t>
      </w:r>
      <w:r w:rsidR="00F55C98" w:rsidRPr="00372E4E">
        <w:t>T</w:t>
      </w:r>
      <w:r w:rsidR="00F55C98" w:rsidRPr="00F55C98">
        <w:rPr>
          <w:color w:val="FF0000"/>
        </w:rPr>
        <w:t xml:space="preserve"> </w:t>
      </w:r>
      <w:bookmarkEnd w:id="0"/>
      <w:r>
        <w:t>com o LRT 1130-2.1</w:t>
      </w:r>
    </w:p>
    <w:p w14:paraId="1250CAE3" w14:textId="3CD9112B" w:rsidR="00B81ED6" w:rsidRPr="001A0270" w:rsidRDefault="005818F7" w:rsidP="00B81ED6">
      <w:pPr>
        <w:pStyle w:val="HeadlineH233Pt"/>
        <w:spacing w:before="240" w:after="240" w:line="140" w:lineRule="exact"/>
        <w:rPr>
          <w:rFonts w:cs="Arial"/>
        </w:rPr>
      </w:pPr>
      <w:r>
        <w:rPr>
          <w:rFonts w:ascii="Tahoma" w:hAnsi="Tahoma"/>
        </w:rPr>
        <w:t>⸺⸺</w:t>
      </w:r>
    </w:p>
    <w:p w14:paraId="339F6C58" w14:textId="4CB8B777" w:rsidR="00F15C36" w:rsidRDefault="00F15C36" w:rsidP="005B6972">
      <w:pPr>
        <w:pStyle w:val="Bulletpoints11Pt"/>
        <w:numPr>
          <w:ilvl w:val="0"/>
          <w:numId w:val="3"/>
        </w:numPr>
        <w:ind w:left="284" w:hanging="284"/>
      </w:pPr>
      <w:r>
        <w:t>Protótipo na Bauma</w:t>
      </w:r>
    </w:p>
    <w:p w14:paraId="65633A41" w14:textId="5A3F9369" w:rsidR="00F15C36" w:rsidRDefault="00F15C36" w:rsidP="005B6972">
      <w:pPr>
        <w:pStyle w:val="Bulletpoints11Pt"/>
        <w:numPr>
          <w:ilvl w:val="0"/>
          <w:numId w:val="3"/>
        </w:numPr>
        <w:ind w:left="284" w:hanging="284"/>
      </w:pPr>
      <w:r>
        <w:t>Mercado principal EUA</w:t>
      </w:r>
    </w:p>
    <w:p w14:paraId="45EDF1AC" w14:textId="6AD8B53D" w:rsidR="005B6972" w:rsidRDefault="00C0691E" w:rsidP="005B6972">
      <w:pPr>
        <w:pStyle w:val="Bulletpoints11Pt"/>
        <w:numPr>
          <w:ilvl w:val="0"/>
          <w:numId w:val="3"/>
        </w:numPr>
        <w:ind w:left="284" w:hanging="284"/>
      </w:pPr>
      <w:r>
        <w:t xml:space="preserve">O mais potente guindaste </w:t>
      </w:r>
      <w:r w:rsidR="00372E4E">
        <w:t xml:space="preserve">RT </w:t>
      </w:r>
      <w:r>
        <w:t>de 2 eixos com a mais longa lança telescópica do mercado</w:t>
      </w:r>
    </w:p>
    <w:p w14:paraId="1612C931" w14:textId="2F33BA9E" w:rsidR="00C0691E" w:rsidRDefault="00C0691E" w:rsidP="00C0691E">
      <w:pPr>
        <w:pStyle w:val="Bulletpoints11Pt"/>
        <w:numPr>
          <w:ilvl w:val="0"/>
          <w:numId w:val="3"/>
        </w:numPr>
        <w:ind w:left="284" w:hanging="284"/>
      </w:pPr>
      <w:r>
        <w:t>Transporte econômico mundialmente</w:t>
      </w:r>
    </w:p>
    <w:p w14:paraId="4DFC0464" w14:textId="34026675" w:rsidR="00F15C36" w:rsidRPr="00F15C36" w:rsidRDefault="00C0691E" w:rsidP="00F15C36">
      <w:pPr>
        <w:pStyle w:val="Bulletpoints11Pt"/>
        <w:numPr>
          <w:ilvl w:val="0"/>
          <w:numId w:val="3"/>
        </w:numPr>
        <w:ind w:left="284" w:hanging="284"/>
      </w:pPr>
      <w:r>
        <w:t>Elevados padrões de segurança</w:t>
      </w:r>
    </w:p>
    <w:p w14:paraId="2DAD90A2" w14:textId="232F794C" w:rsidR="00A3724C" w:rsidRPr="00DA4B25" w:rsidRDefault="000B0078" w:rsidP="00273422">
      <w:pPr>
        <w:pStyle w:val="Teaser11Pt"/>
        <w:rPr>
          <w:rFonts w:cs="Arial"/>
          <w:color w:val="000000" w:themeColor="text1"/>
        </w:rPr>
      </w:pPr>
      <w:r>
        <w:rPr>
          <w:color w:val="000000" w:themeColor="text1"/>
        </w:rPr>
        <w:t xml:space="preserve">Na Bauma 2022, a Liebherr mostrará o guindaste </w:t>
      </w:r>
      <w:r w:rsidR="00372E4E">
        <w:rPr>
          <w:color w:val="000000" w:themeColor="text1"/>
        </w:rPr>
        <w:t>RT</w:t>
      </w:r>
      <w:r>
        <w:rPr>
          <w:color w:val="000000" w:themeColor="text1"/>
        </w:rPr>
        <w:t xml:space="preserve"> mais potente </w:t>
      </w:r>
      <w:r w:rsidR="00F55C98" w:rsidRPr="00372E4E">
        <w:t xml:space="preserve">de </w:t>
      </w:r>
      <w:r>
        <w:rPr>
          <w:color w:val="000000" w:themeColor="text1"/>
        </w:rPr>
        <w:t xml:space="preserve">dois eixos do mercado: O LRT 1130-2.1, com capacidade máxima de carga de 130 toneladas, expande a gama de guindastes </w:t>
      </w:r>
      <w:bookmarkStart w:id="1" w:name="_Hlk114800883"/>
      <w:r w:rsidR="00F55C98" w:rsidRPr="00372E4E">
        <w:t xml:space="preserve">RT </w:t>
      </w:r>
      <w:bookmarkEnd w:id="1"/>
      <w:r>
        <w:rPr>
          <w:color w:val="000000" w:themeColor="text1"/>
        </w:rPr>
        <w:t xml:space="preserve">Liebherr. Além do alto desempenho, o foco no desenvolvimento do novo modelo foi no transporte econômico e na segurança na operação do guindaste. </w:t>
      </w:r>
    </w:p>
    <w:p w14:paraId="4BEBFC84" w14:textId="4144D9E3" w:rsidR="00EE6BD9" w:rsidRDefault="00F07120" w:rsidP="00F7626F">
      <w:pPr>
        <w:pStyle w:val="Copytext11Pt"/>
      </w:pPr>
      <w:r>
        <w:t xml:space="preserve">Ehingen (Donau) (Alemanha), 24 de outubro de 2022 – Liebherr apresenta um guindaste </w:t>
      </w:r>
      <w:r w:rsidR="00372E4E">
        <w:t xml:space="preserve">rough terrain </w:t>
      </w:r>
      <w:r w:rsidR="00F55C98" w:rsidRPr="00372E4E">
        <w:t xml:space="preserve">RT </w:t>
      </w:r>
      <w:r>
        <w:t xml:space="preserve">de 130 toneladas, na Bauma 2022, sob o slogan "O mais resistente nas mais </w:t>
      </w:r>
      <w:r w:rsidR="00F55C98" w:rsidRPr="00372E4E">
        <w:t>severas</w:t>
      </w:r>
      <w:r w:rsidR="00F55C98" w:rsidRPr="00F55C98">
        <w:rPr>
          <w:color w:val="FF0000"/>
        </w:rPr>
        <w:t xml:space="preserve"> </w:t>
      </w:r>
      <w:r>
        <w:t xml:space="preserve">condições": O novo LRT 1130-2.1 oferece as mais altas capacidades de carga e a lança telescópica mais longa de todos os guindastes </w:t>
      </w:r>
      <w:r w:rsidR="00372E4E">
        <w:t>RT</w:t>
      </w:r>
      <w:r>
        <w:t xml:space="preserve"> de 2 eixos em todo o mundo. Além disso, possui as dimensões de transporte mais econômicas em sua classe de desempenho.</w:t>
      </w:r>
    </w:p>
    <w:p w14:paraId="116AA640" w14:textId="22B58D39" w:rsidR="00325386" w:rsidRDefault="001F300E" w:rsidP="002A63AE">
      <w:pPr>
        <w:pStyle w:val="Copyhead11Pt"/>
      </w:pPr>
      <w:r>
        <w:t>Alto desempenho com lança telescópica longa</w:t>
      </w:r>
    </w:p>
    <w:p w14:paraId="74A0895E" w14:textId="0BE7F969" w:rsidR="00F04AF7" w:rsidRDefault="00CF5B18" w:rsidP="00F7626F">
      <w:pPr>
        <w:pStyle w:val="Copytext11Pt"/>
      </w:pPr>
      <w:r>
        <w:t xml:space="preserve">O conceito do LRT 1130-2.1 é o desempenho máximo com mobilidade econômica em todo o mundo. Assim, o novo guindaste </w:t>
      </w:r>
      <w:r w:rsidR="00784A81" w:rsidRPr="00372E4E">
        <w:t xml:space="preserve">RT </w:t>
      </w:r>
      <w:r>
        <w:t xml:space="preserve">Liebherr é atualmente o único guindaste de 130 toneladas em um chassi de 2 eixos. Ao mesmo tempo, sua lança telescópica de 60 metros é a mais longa em sua classe de guindastes. Ela consiste </w:t>
      </w:r>
      <w:r w:rsidR="00784A81">
        <w:t xml:space="preserve">em </w:t>
      </w:r>
      <w:r w:rsidR="00784A81" w:rsidRPr="00372E4E">
        <w:t>uma seção base</w:t>
      </w:r>
      <w:r w:rsidR="00784A81" w:rsidRPr="00784A81">
        <w:rPr>
          <w:color w:val="FF0000"/>
        </w:rPr>
        <w:t xml:space="preserve"> </w:t>
      </w:r>
      <w:r>
        <w:t xml:space="preserve">e seis </w:t>
      </w:r>
      <w:r w:rsidR="00784A81" w:rsidRPr="00372E4E">
        <w:t xml:space="preserve">seções </w:t>
      </w:r>
      <w:r>
        <w:t xml:space="preserve">telescópicas, e é estendida e </w:t>
      </w:r>
      <w:r w:rsidR="00784A81" w:rsidRPr="00372E4E">
        <w:t>pinada</w:t>
      </w:r>
      <w:r w:rsidR="00784A81">
        <w:rPr>
          <w:color w:val="FF0000"/>
        </w:rPr>
        <w:t xml:space="preserve"> </w:t>
      </w:r>
      <w:r>
        <w:t xml:space="preserve">de forma totalmente automática com o sistema telescópico de alta velocidade Liebherr TELEMATIK. </w:t>
      </w:r>
    </w:p>
    <w:p w14:paraId="1D5D397C" w14:textId="6426F3EA" w:rsidR="00F04AF7" w:rsidRDefault="00CF44CC" w:rsidP="00F7626F">
      <w:pPr>
        <w:pStyle w:val="Copytext11Pt"/>
      </w:pPr>
      <w:r>
        <w:t xml:space="preserve">Um jib rebatível simples de 10,8 metros ou um jib rebatível duplo de 10,8 -19 metros está disponível para o LRT 1130-2.1. É montado em ângulos de 0°, 20° ou 40° ou opcionalmente pode ser inclinado hidraulicamente de 0° a 40°. Com uma </w:t>
      </w:r>
      <w:r w:rsidR="00004048">
        <w:t xml:space="preserve">seção </w:t>
      </w:r>
      <w:r>
        <w:t>de treliça adicional de sete metros como prolongador da lança telescópica, o novo guindaste pode atingir alturas de gancho de até 85 metros. O jib rebatível é transportado na lança à direita. Ao mesmo tempo, um jib de montagem de 2,9 metros pode ser fixado no lado esquerdo da lança. Um</w:t>
      </w:r>
      <w:r w:rsidR="00372E4E">
        <w:t>a</w:t>
      </w:r>
      <w:r>
        <w:t xml:space="preserve"> </w:t>
      </w:r>
      <w:r w:rsidR="0042257F" w:rsidRPr="00372E4E">
        <w:t xml:space="preserve">“nariz” </w:t>
      </w:r>
      <w:r>
        <w:t xml:space="preserve">rebatível lateralmente, que pode ser operada com </w:t>
      </w:r>
      <w:r w:rsidR="00004048">
        <w:t xml:space="preserve">o </w:t>
      </w:r>
      <w:r>
        <w:t>2</w:t>
      </w:r>
      <w:r w:rsidR="00004048">
        <w:t>º</w:t>
      </w:r>
      <w:r>
        <w:t xml:space="preserve"> </w:t>
      </w:r>
      <w:r w:rsidR="00004048" w:rsidRPr="00372E4E">
        <w:t>guincho</w:t>
      </w:r>
      <w:r w:rsidR="00004048">
        <w:t xml:space="preserve"> </w:t>
      </w:r>
      <w:r>
        <w:t>de cabo, completa as opções de lança.</w:t>
      </w:r>
    </w:p>
    <w:p w14:paraId="4B10053B" w14:textId="53E23CCB" w:rsidR="00F04AF7" w:rsidRDefault="00F04AF7" w:rsidP="002A63AE">
      <w:pPr>
        <w:pStyle w:val="Copyhead11Pt"/>
      </w:pPr>
      <w:r>
        <w:lastRenderedPageBreak/>
        <w:t>Transporte econômico</w:t>
      </w:r>
    </w:p>
    <w:p w14:paraId="294328E4" w14:textId="3952D19C" w:rsidR="00F04AF7" w:rsidRDefault="00F04AF7" w:rsidP="00F7626F">
      <w:pPr>
        <w:pStyle w:val="Copytext11Pt"/>
      </w:pPr>
      <w:r>
        <w:t xml:space="preserve">A Liebherr projetou as dimensões do novo LRT 1130-2.1 de forma que ele possa ser transportado de forma econômica em semirreboques de plataforma rebaixada em todo o mundo. Sua largura é de 3,4 metros, sua altura é de 3,85 metros e o comprimento do chassi é de 9,4 metros. Sem lastro, mas com jib rebatível e moitão de gancho, o peso de transporte é de 48 toneladas. Pode ser reduzido para 44,8 toneladas. Estes valores são únicos na classe dos potentes guindastes </w:t>
      </w:r>
      <w:r w:rsidR="0042257F" w:rsidRPr="00372E4E">
        <w:t xml:space="preserve">RT </w:t>
      </w:r>
      <w:r>
        <w:t>de 2 eixos. Um veículo de transporte padrão, que não requer licença, é suficiente para o lastro de 20 toneladas e equipamentos adicionais. O contrapeso consiste em três placas de lastro e é fixado à plataforma giratória em automontagem através de cilindros de lastreamento.</w:t>
      </w:r>
    </w:p>
    <w:p w14:paraId="58A39876" w14:textId="42CF7D3E" w:rsidR="00DE2A03" w:rsidRPr="00DE2A03" w:rsidRDefault="0042257F" w:rsidP="002A63AE">
      <w:pPr>
        <w:pStyle w:val="Copyhead11Pt"/>
      </w:pPr>
      <w:r>
        <w:t>“Segurança em primeiro lugar”</w:t>
      </w:r>
      <w:r w:rsidR="00590EE5">
        <w:t>- Dispositivos de segurança estabelecem padrões</w:t>
      </w:r>
    </w:p>
    <w:p w14:paraId="171CD504" w14:textId="078FF185" w:rsidR="00DE2A03" w:rsidRPr="00DE2A03" w:rsidRDefault="00DE2A03" w:rsidP="00DE2A03">
      <w:pPr>
        <w:pStyle w:val="Copytext11Pt"/>
      </w:pPr>
      <w:r>
        <w:t xml:space="preserve">A alta segurança em todas as áreas foi a principal prioridade no projeto do novo LRT 1130-2.1: É equipado de série com monitoramento da viga de </w:t>
      </w:r>
      <w:r w:rsidR="0042257F" w:rsidRPr="00372E4E">
        <w:t>patola.</w:t>
      </w:r>
      <w:r w:rsidR="0042257F">
        <w:t xml:space="preserve"> </w:t>
      </w:r>
      <w:r>
        <w:t xml:space="preserve"> A condição de apoio, sobre pneus ou suportes, é automaticamente identificada e transferida para o controle do guindaste. A instalação do lastro na plataforma giratória e a instalação do jib rebatível duplo opcional, incluindo seu ajuste de ângulo, também são incluídas e monitoradas.</w:t>
      </w:r>
    </w:p>
    <w:p w14:paraId="4824AE61" w14:textId="35E429B0" w:rsidR="00DE2A03" w:rsidRPr="00DE2A03" w:rsidRDefault="00DE2A03" w:rsidP="00DE2A03">
      <w:pPr>
        <w:pStyle w:val="Copytext11Pt"/>
      </w:pPr>
      <w:r>
        <w:t>Uma contribuição muito importante para maior segurança é a base de apoio variável VarioBase</w:t>
      </w:r>
      <w:r>
        <w:rPr>
          <w:vertAlign w:val="superscript"/>
        </w:rPr>
        <w:t>®</w:t>
      </w:r>
      <w:r>
        <w:t>, desenvolvida pela Liebherr, que é padrão em todos os guindastes LRT Liebherr. Com o VarioBase</w:t>
      </w:r>
      <w:r>
        <w:rPr>
          <w:vertAlign w:val="superscript"/>
        </w:rPr>
        <w:t>®</w:t>
      </w:r>
      <w:r>
        <w:t>, cada suporte individual do guindaste pode ser estendido conforme necessário. O trabalho do guindaste é garantido através da limitação do momento de carga do controle LICCON, em que as capacidades de carga, permitidas na respectiva situação atual, são calculadas. Dessa forma, acidentes devido a operação incorreta podem ser evitados tanto na configuração quanto na elevação de cargas. O VarioBase</w:t>
      </w:r>
      <w:r>
        <w:rPr>
          <w:vertAlign w:val="superscript"/>
        </w:rPr>
        <w:t>®</w:t>
      </w:r>
      <w:r>
        <w:t xml:space="preserve"> também oferece mais flexibilidade no canteiro de obras, capacidades de carga mais altas e uma área de trabalho maior. Os maiores aumentos ocorrem nas áreas de trabalho diretamente acima dos suportes.</w:t>
      </w:r>
    </w:p>
    <w:p w14:paraId="4242945B" w14:textId="472E7BDE" w:rsidR="00DE2A03" w:rsidRPr="00DE2A03" w:rsidRDefault="00DE2A03" w:rsidP="00DE2A03">
      <w:pPr>
        <w:pStyle w:val="Copytext11Pt"/>
      </w:pPr>
      <w:r>
        <w:t>A segurança também é aumentada através de mais conforto para o pessoal operacional. Assim, o novo guindaste de 130 toneladas também possui cabine larga do guindaste, que já foi comprovada nos outros modelos LRT Liebherr. Pode ser inclinad</w:t>
      </w:r>
      <w:r w:rsidR="00A95EBC">
        <w:t>a</w:t>
      </w:r>
      <w:r>
        <w:t xml:space="preserve"> para trás para maior conforto ao elevar em grandes alturas. Unidades operacionais simples e autoexplicativas garantem o manuseio fácil do guindaste. Elas permitem que o operador do guindaste se concentre em seu trabalho essencial, trabalhando com o guindaste e a carga. A Liebherr chama esse conceito de KISS: "Keep it simple and safe".</w:t>
      </w:r>
    </w:p>
    <w:p w14:paraId="0F424E17" w14:textId="5175F9DB" w:rsidR="00DE2A03" w:rsidRPr="00DE2A03" w:rsidRDefault="00DE2A03" w:rsidP="00DE2A03">
      <w:pPr>
        <w:pStyle w:val="Copytext11Pt"/>
      </w:pPr>
      <w:r>
        <w:t>Escadas e um grande número de apoios de mão, bem como uma plataforma extensível eletricamente na cabine do guindaste, estão disponíveis para uma subida segura no guindaste. Como padrão, o novo guindaste LRT oferece inúmeras caixas de armazenamento para uma vasta gama de acessórios, meios de elevação e calços de madeira. Há um local de armazenamento para o gancho de carga.</w:t>
      </w:r>
    </w:p>
    <w:p w14:paraId="43844612" w14:textId="70DE35C3" w:rsidR="008A4616" w:rsidRDefault="00446D5B" w:rsidP="00DE2A03">
      <w:pPr>
        <w:pStyle w:val="Copytext11Pt"/>
      </w:pPr>
      <w:r>
        <w:t xml:space="preserve">Como os dois LRT 1090-2.1 e LRT 1100-2.1, o LRT 1130-2.1 também está em conformidade com um padrão de segurança globalmente uniforme e, portanto, está em conformidade com os regulamentos mundiais como, por exemplo, a norma americana ASME B30.5, o padrão europeu EN 13000, o padrão </w:t>
      </w:r>
      <w:r>
        <w:lastRenderedPageBreak/>
        <w:t xml:space="preserve">australiano (AS) e a norma russa GOST. </w:t>
      </w:r>
      <w:r w:rsidR="00A95EBC" w:rsidRPr="002D02EC">
        <w:rPr>
          <w:lang w:val="pt-PT"/>
        </w:rPr>
        <w:t>As máquinas também incluem sistemas para evitar que os equipamentos de segurança sejam ignorados.</w:t>
      </w:r>
      <w:r w:rsidR="00F812B2">
        <w:t xml:space="preserve"> </w:t>
      </w:r>
      <w:r>
        <w:t xml:space="preserve">A Liebherr é pioneira </w:t>
      </w:r>
      <w:r w:rsidR="00A95EBC" w:rsidRPr="002D02EC">
        <w:t xml:space="preserve">nesse </w:t>
      </w:r>
      <w:r>
        <w:t>setor</w:t>
      </w:r>
      <w:r w:rsidR="002D02EC">
        <w:t>.</w:t>
      </w:r>
    </w:p>
    <w:p w14:paraId="58FCF9C3" w14:textId="5FFD42F1" w:rsidR="00C0691E" w:rsidRPr="00C0691E" w:rsidRDefault="00C0691E" w:rsidP="002A63AE">
      <w:pPr>
        <w:pStyle w:val="Copyhead11Pt"/>
      </w:pPr>
      <w:r>
        <w:t xml:space="preserve">Alta capacidade em todos os terrenos </w:t>
      </w:r>
    </w:p>
    <w:p w14:paraId="5643BA71" w14:textId="023FA1A3" w:rsidR="00C0691E" w:rsidRDefault="00C0691E" w:rsidP="00C0691E">
      <w:pPr>
        <w:pStyle w:val="Copytext11Pt"/>
      </w:pPr>
      <w:r>
        <w:t>O novo LRT 1130-2.1 foi concebido para robustez, capacidade</w:t>
      </w:r>
      <w:r w:rsidR="00586171">
        <w:t xml:space="preserve"> </w:t>
      </w:r>
      <w:r w:rsidR="00586171" w:rsidRPr="00F204E3">
        <w:t xml:space="preserve">em </w:t>
      </w:r>
      <w:r w:rsidRPr="00F204E3">
        <w:t>terrenos</w:t>
      </w:r>
      <w:r w:rsidR="00586171" w:rsidRPr="00F204E3">
        <w:t xml:space="preserve"> fora de estrada</w:t>
      </w:r>
      <w:r w:rsidR="00586171">
        <w:t xml:space="preserve"> </w:t>
      </w:r>
      <w:r>
        <w:t xml:space="preserve">e manobrabilidade. Ele é alimentado por um motor de combustão CUMMINS de 6 cilindros, que atende a todos os regulamentos de emissões de gases de escape aplicáveis. Pode ser operado com óleo vegetal hidrogenado HVO sem quaisquer restrições. O motor entrega 188 kW (252 cv) e oferece um torque máximo de 1.186 Nm. Uma transmissão de 6 marchas da DANA e pneus 29.5 R 25 de grande volume garantem a capacidade </w:t>
      </w:r>
      <w:r w:rsidR="001D553A" w:rsidRPr="00F204E3">
        <w:t xml:space="preserve">em terrenos fora de estrada </w:t>
      </w:r>
      <w:r w:rsidRPr="00F204E3">
        <w:t>n</w:t>
      </w:r>
      <w:r>
        <w:t>ecessária na condução. A direção de todas as rodas e a direção caranguejo garantem alta agilidade e manobrabilidade em condições de utilização restritas.</w:t>
      </w:r>
    </w:p>
    <w:p w14:paraId="14486333" w14:textId="77777777" w:rsidR="00A167EA" w:rsidRPr="005643A4" w:rsidRDefault="00A167EA" w:rsidP="000C3800">
      <w:pPr>
        <w:pStyle w:val="BoilerplateCopyhead9Pt"/>
        <w:rPr>
          <w:rFonts w:cs="Arial"/>
          <w:lang w:val="pt-PT"/>
        </w:rPr>
      </w:pPr>
    </w:p>
    <w:p w14:paraId="71F4F115" w14:textId="77777777" w:rsidR="00B71B47" w:rsidRPr="00DE5577" w:rsidRDefault="00B71B47" w:rsidP="002A63AE">
      <w:pPr>
        <w:pStyle w:val="BoilerplateCopyhead9Pt"/>
        <w:rPr>
          <w:lang w:val="de-DE"/>
        </w:rPr>
      </w:pPr>
      <w:proofErr w:type="spellStart"/>
      <w:r w:rsidRPr="00DE5577">
        <w:rPr>
          <w:lang w:val="de-DE"/>
        </w:rPr>
        <w:t>Sobre</w:t>
      </w:r>
      <w:proofErr w:type="spellEnd"/>
      <w:r w:rsidRPr="00DE5577">
        <w:rPr>
          <w:lang w:val="de-DE"/>
        </w:rPr>
        <w:t xml:space="preserve"> a Liebherr-Werk Ehingen GmbH</w:t>
      </w:r>
    </w:p>
    <w:p w14:paraId="5CD1B1A2" w14:textId="77777777" w:rsidR="00B71B47" w:rsidRPr="00F55C98" w:rsidRDefault="00B71B47" w:rsidP="002A63AE">
      <w:pPr>
        <w:pStyle w:val="BoilerplateCopytext9Pt"/>
      </w:pPr>
      <w:r w:rsidRPr="00F55C98">
        <w:t xml:space="preserve">A Liebherr-Werk Ehingen GmbH é um dos principais fabricantes de guindastes móveis e sobre esteiras. A gama de guindastes móveis estende-se desde o guindaste de 2 eixos de 35 toneladas até o guindaste de carga pesada com uma capacidade de carga de 1.200 toneladas e um chassi de 9 eixos. Os guindastes com lança treliçada </w:t>
      </w:r>
      <w:r w:rsidRPr="006B2A63">
        <w:t>em guindastes móveis ou sobre esteiras</w:t>
      </w:r>
      <w:r w:rsidRPr="00F55C98">
        <w:t xml:space="preserve"> atingem capacidades de carga de até 3.000 toneladas. Com sistemas universais de lanças e equipamentos adicionais abrangentes, eles são usados ​​em canteiros de obras em todo o mundo. 3.800 colaboradores trabalham no local em Ehingen. Um serviço amplo e mundial garante alta disponibilidade de guindastes móveis e sobre esteiras. Em 2021, foi gerado um faturamento de 2,33 bilhões de euros na fábrica da Liebherr em Ehingen.</w:t>
      </w:r>
    </w:p>
    <w:p w14:paraId="70F86D61" w14:textId="77777777" w:rsidR="005643A4" w:rsidRPr="00F55C98" w:rsidRDefault="005643A4" w:rsidP="002A63AE">
      <w:pPr>
        <w:pStyle w:val="BoilerplateCopyhead9Pt"/>
      </w:pPr>
      <w:r w:rsidRPr="00F55C98">
        <w:t>Sobre o grupo Liebherr</w:t>
      </w:r>
    </w:p>
    <w:p w14:paraId="05891BDA" w14:textId="571AF721" w:rsidR="005643A4" w:rsidRPr="00F55C98" w:rsidRDefault="005643A4" w:rsidP="002A63AE">
      <w:pPr>
        <w:pStyle w:val="BoilerplateCopytext9Pt"/>
      </w:pPr>
      <w:r w:rsidRPr="00F55C98">
        <w:t xml:space="preserve">O grupo Liebherr é uma empresa de tecnologia familiar com uma gama de produtos amplamente diversificada. A empresa é um dos maiores fabricantes de máquinas de construção do mundo. No entanto, também oferece produtos e serviços de alta qualidade e orientados para benefícios em muitas outras áreas. Hoje, o grupo compreende mais de 140 empresas em todos os continentes. Em 2021, empregava mais de 49.000 colaboradores e gerou um faturamento total consolidado de mais de 11,6 bilhões de euros. A Liebherr foi fundada no ano de 1949 em Kirchdorf an der Iller, no sul da Alemanha. Desde então, os colaboradores têm </w:t>
      </w:r>
      <w:r w:rsidR="0033107B" w:rsidRPr="001C545F">
        <w:t xml:space="preserve">seguido </w:t>
      </w:r>
      <w:r w:rsidRPr="00F55C98">
        <w:t xml:space="preserve">o objetivo de </w:t>
      </w:r>
      <w:r w:rsidR="0033107B" w:rsidRPr="001C545F">
        <w:t xml:space="preserve">apresentar aos </w:t>
      </w:r>
      <w:r w:rsidRPr="00F55C98">
        <w:t>seus clientes soluções sofisticadas e contribuir para o progresso tecnológico.</w:t>
      </w:r>
    </w:p>
    <w:p w14:paraId="6B262C43" w14:textId="77777777" w:rsidR="00BD537A" w:rsidRDefault="00BD537A">
      <w:pPr>
        <w:pStyle w:val="Copyhead11Pt"/>
      </w:pPr>
    </w:p>
    <w:p w14:paraId="3BED4DD5" w14:textId="77777777" w:rsidR="00BD537A" w:rsidRDefault="00BD537A">
      <w:pPr>
        <w:pStyle w:val="Copyhead11Pt"/>
      </w:pPr>
    </w:p>
    <w:p w14:paraId="1477E3D5" w14:textId="77777777" w:rsidR="00BD537A" w:rsidRDefault="00BD537A">
      <w:pPr>
        <w:pStyle w:val="Copyhead11Pt"/>
      </w:pPr>
    </w:p>
    <w:p w14:paraId="5A47DB26" w14:textId="77777777" w:rsidR="00BD537A" w:rsidRDefault="00BD537A">
      <w:pPr>
        <w:pStyle w:val="Copyhead11Pt"/>
      </w:pPr>
    </w:p>
    <w:p w14:paraId="1CDADB7A" w14:textId="77777777" w:rsidR="00BD537A" w:rsidRDefault="00BD537A">
      <w:pPr>
        <w:pStyle w:val="Copyhead11Pt"/>
      </w:pPr>
    </w:p>
    <w:p w14:paraId="412156A8" w14:textId="0A23EF9C" w:rsidR="00C158F9" w:rsidRPr="00A167EA" w:rsidRDefault="00BD537A">
      <w:pPr>
        <w:pStyle w:val="Copyhead11Pt"/>
      </w:pPr>
      <w:r>
        <w:rPr>
          <w:rFonts w:cs="Arial"/>
          <w:b w:val="0"/>
          <w:noProof/>
          <w:sz w:val="18"/>
          <w:lang w:val="de-DE"/>
        </w:rPr>
        <w:lastRenderedPageBreak/>
        <w:drawing>
          <wp:anchor distT="0" distB="0" distL="114300" distR="114300" simplePos="0" relativeHeight="251659264" behindDoc="0" locked="0" layoutInCell="1" allowOverlap="1" wp14:anchorId="7756AE7B" wp14:editId="1959D616">
            <wp:simplePos x="0" y="0"/>
            <wp:positionH relativeFrom="margin">
              <wp:align>left</wp:align>
            </wp:positionH>
            <wp:positionV relativeFrom="paragraph">
              <wp:posOffset>402324</wp:posOffset>
            </wp:positionV>
            <wp:extent cx="4003675" cy="2667635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ebherr-lrt-1130-2-1-96dp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67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D3C">
        <w:t>Imagem</w:t>
      </w:r>
    </w:p>
    <w:p w14:paraId="4354AE9B" w14:textId="0507A0B4" w:rsidR="008D637A" w:rsidRPr="008D637A" w:rsidRDefault="00535EA6" w:rsidP="002A63AE">
      <w:pPr>
        <w:pStyle w:val="Caption9Pt"/>
        <w:rPr>
          <w:b/>
        </w:rPr>
      </w:pPr>
      <w:r>
        <w:br/>
      </w:r>
      <w:r w:rsidR="008D637A">
        <w:t>liebherr-lrt1130-2.1.jpg</w:t>
      </w:r>
      <w:r w:rsidR="008D637A">
        <w:br/>
        <w:t xml:space="preserve">O novo LRT 1130-2.1 Liebherr é agora o guindaste </w:t>
      </w:r>
      <w:r w:rsidR="00AB1274" w:rsidRPr="001C545F">
        <w:t xml:space="preserve">RT </w:t>
      </w:r>
      <w:r w:rsidR="008D637A">
        <w:t>mais potente</w:t>
      </w:r>
      <w:r w:rsidR="001C545F" w:rsidRPr="001C545F">
        <w:t xml:space="preserve"> </w:t>
      </w:r>
      <w:r w:rsidR="00AB1274">
        <w:t xml:space="preserve">de </w:t>
      </w:r>
      <w:r w:rsidR="008D637A">
        <w:t>dois eixos.</w:t>
      </w:r>
    </w:p>
    <w:p w14:paraId="54F6B3C4" w14:textId="77777777" w:rsidR="006559AB" w:rsidRPr="005643A4" w:rsidRDefault="006559AB" w:rsidP="00AD563D">
      <w:pPr>
        <w:pStyle w:val="Copyhead11Pt"/>
        <w:rPr>
          <w:rFonts w:cs="Arial"/>
          <w:lang w:val="pt-PT"/>
        </w:rPr>
      </w:pPr>
    </w:p>
    <w:p w14:paraId="276D2329" w14:textId="5E0DDD7C" w:rsidR="00AD563D" w:rsidRPr="005643A4" w:rsidRDefault="003F0881" w:rsidP="00AD563D">
      <w:pPr>
        <w:pStyle w:val="Copyhead11Pt"/>
        <w:rPr>
          <w:rFonts w:cs="Arial"/>
          <w:lang w:val="en-US"/>
        </w:rPr>
      </w:pPr>
      <w:proofErr w:type="spellStart"/>
      <w:r w:rsidRPr="005643A4">
        <w:rPr>
          <w:lang w:val="en-US"/>
        </w:rPr>
        <w:t>Contato</w:t>
      </w:r>
      <w:proofErr w:type="spellEnd"/>
    </w:p>
    <w:p w14:paraId="11B13EC7" w14:textId="4837C3D1" w:rsidR="00586047" w:rsidRPr="005643A4" w:rsidRDefault="00586047" w:rsidP="00586047">
      <w:pPr>
        <w:spacing w:after="300" w:line="300" w:lineRule="exact"/>
        <w:rPr>
          <w:rFonts w:ascii="Arial" w:eastAsia="Times New Roman" w:hAnsi="Arial" w:cs="Arial"/>
          <w:szCs w:val="18"/>
          <w:lang w:val="en-US"/>
        </w:rPr>
      </w:pPr>
      <w:r w:rsidRPr="005643A4">
        <w:rPr>
          <w:rFonts w:ascii="Arial" w:hAnsi="Arial"/>
          <w:lang w:val="en-US"/>
        </w:rPr>
        <w:t>Wolfgang Beringer</w:t>
      </w:r>
      <w:r w:rsidRPr="005643A4">
        <w:rPr>
          <w:rFonts w:ascii="Arial" w:hAnsi="Arial"/>
          <w:lang w:val="en-US"/>
        </w:rPr>
        <w:br/>
        <w:t>Marketing and Communication</w:t>
      </w:r>
      <w:r w:rsidRPr="005643A4">
        <w:rPr>
          <w:rFonts w:ascii="Arial" w:hAnsi="Arial"/>
          <w:lang w:val="en-US"/>
        </w:rPr>
        <w:br/>
      </w:r>
      <w:proofErr w:type="spellStart"/>
      <w:r w:rsidRPr="005643A4">
        <w:rPr>
          <w:rFonts w:ascii="Arial" w:hAnsi="Arial"/>
          <w:lang w:val="en-US"/>
        </w:rPr>
        <w:t>Telefone</w:t>
      </w:r>
      <w:proofErr w:type="spellEnd"/>
      <w:r w:rsidRPr="005643A4">
        <w:rPr>
          <w:rFonts w:ascii="Arial" w:hAnsi="Arial"/>
          <w:lang w:val="en-US"/>
        </w:rPr>
        <w:t>: +49 7391/502 - 3663</w:t>
      </w:r>
      <w:r w:rsidRPr="005643A4">
        <w:rPr>
          <w:rFonts w:ascii="Arial" w:hAnsi="Arial"/>
          <w:lang w:val="en-US"/>
        </w:rPr>
        <w:br/>
        <w:t>E-mail: wolfgang.beringer@liebherr.com</w:t>
      </w:r>
    </w:p>
    <w:p w14:paraId="57C20819" w14:textId="3D1678D8" w:rsidR="00586047" w:rsidRPr="005643A4" w:rsidRDefault="00586047" w:rsidP="00586047">
      <w:pPr>
        <w:pStyle w:val="Copyhead11Pt"/>
        <w:rPr>
          <w:rFonts w:cs="Arial"/>
          <w:lang w:val="de-DE"/>
        </w:rPr>
      </w:pPr>
      <w:proofErr w:type="spellStart"/>
      <w:r w:rsidRPr="005643A4">
        <w:rPr>
          <w:lang w:val="de-DE"/>
        </w:rPr>
        <w:t>Publicado</w:t>
      </w:r>
      <w:proofErr w:type="spellEnd"/>
      <w:r w:rsidRPr="005643A4">
        <w:rPr>
          <w:lang w:val="de-DE"/>
        </w:rPr>
        <w:t xml:space="preserve"> </w:t>
      </w:r>
      <w:proofErr w:type="spellStart"/>
      <w:r w:rsidRPr="005643A4">
        <w:rPr>
          <w:lang w:val="de-DE"/>
        </w:rPr>
        <w:t>por</w:t>
      </w:r>
      <w:proofErr w:type="spellEnd"/>
    </w:p>
    <w:p w14:paraId="379D5BF4" w14:textId="205B3270" w:rsidR="0049467E" w:rsidRPr="005643A4" w:rsidRDefault="00586047" w:rsidP="005973EE">
      <w:pPr>
        <w:spacing w:after="300" w:line="300" w:lineRule="exact"/>
        <w:rPr>
          <w:rFonts w:ascii="Arial" w:eastAsia="Times New Roman" w:hAnsi="Arial" w:cs="Times New Roman"/>
          <w:szCs w:val="18"/>
          <w:lang w:val="de-DE"/>
        </w:rPr>
      </w:pPr>
      <w:r w:rsidRPr="005643A4">
        <w:rPr>
          <w:rFonts w:ascii="Arial" w:hAnsi="Arial"/>
          <w:lang w:val="de-DE"/>
        </w:rPr>
        <w:t xml:space="preserve">Liebherr-Werk Ehingen GmbH </w:t>
      </w:r>
      <w:r w:rsidRPr="005643A4">
        <w:rPr>
          <w:rFonts w:ascii="Arial" w:hAnsi="Arial"/>
          <w:lang w:val="de-DE"/>
        </w:rPr>
        <w:br/>
        <w:t>Ehingen (Donau) / </w:t>
      </w:r>
      <w:proofErr w:type="spellStart"/>
      <w:r w:rsidRPr="005643A4">
        <w:rPr>
          <w:rFonts w:ascii="Arial" w:hAnsi="Arial"/>
          <w:lang w:val="de-DE"/>
        </w:rPr>
        <w:t>Alemanha</w:t>
      </w:r>
      <w:proofErr w:type="spellEnd"/>
      <w:r w:rsidRPr="005643A4">
        <w:rPr>
          <w:rFonts w:ascii="Arial" w:hAnsi="Arial"/>
          <w:lang w:val="de-DE"/>
        </w:rPr>
        <w:br/>
      </w:r>
      <w:hyperlink r:id="rId12" w:history="1">
        <w:r w:rsidRPr="005643A4">
          <w:rPr>
            <w:rFonts w:ascii="Arial" w:hAnsi="Arial"/>
            <w:lang w:val="de-DE"/>
          </w:rPr>
          <w:t>www.liebherr.com</w:t>
        </w:r>
      </w:hyperlink>
    </w:p>
    <w:sectPr w:rsidR="0049467E" w:rsidRPr="005643A4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4FE8" w14:textId="77777777" w:rsidR="003647D6" w:rsidRDefault="003647D6" w:rsidP="00B81ED6">
      <w:pPr>
        <w:spacing w:after="0" w:line="240" w:lineRule="auto"/>
      </w:pPr>
      <w:r>
        <w:separator/>
      </w:r>
    </w:p>
  </w:endnote>
  <w:endnote w:type="continuationSeparator" w:id="0">
    <w:p w14:paraId="605D4495" w14:textId="77777777" w:rsidR="003647D6" w:rsidRDefault="003647D6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3773" w14:textId="64BE09E6" w:rsidR="001C1090" w:rsidRPr="00E847CC" w:rsidRDefault="001C1090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2A63AE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2A63AE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2A63AE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2A63AE">
      <w:rPr>
        <w:rFonts w:ascii="Arial" w:hAnsi="Arial" w:cs="Arial"/>
      </w:rPr>
      <w:fldChar w:fldCharType="separate"/>
    </w:r>
    <w:r w:rsidR="002A63AE">
      <w:rPr>
        <w:rFonts w:ascii="Arial" w:hAnsi="Arial" w:cs="Arial"/>
        <w:noProof/>
      </w:rPr>
      <w:t>4</w:t>
    </w:r>
    <w:r w:rsidR="002A63AE" w:rsidRPr="0093605C">
      <w:rPr>
        <w:rFonts w:ascii="Arial" w:hAnsi="Arial" w:cs="Arial"/>
        <w:noProof/>
      </w:rPr>
      <w:t>/</w:t>
    </w:r>
    <w:r w:rsidR="002A63AE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4076" w14:textId="77777777" w:rsidR="003647D6" w:rsidRDefault="003647D6" w:rsidP="00B81ED6">
      <w:pPr>
        <w:spacing w:after="0" w:line="240" w:lineRule="auto"/>
      </w:pPr>
      <w:r>
        <w:separator/>
      </w:r>
    </w:p>
  </w:footnote>
  <w:footnote w:type="continuationSeparator" w:id="0">
    <w:p w14:paraId="751E9635" w14:textId="77777777" w:rsidR="003647D6" w:rsidRDefault="003647D6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AD02" w14:textId="77777777" w:rsidR="001C1090" w:rsidRDefault="001C1090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 w:eastAsia="de-DE"/>
      </w:rPr>
      <w:drawing>
        <wp:inline distT="0" distB="0" distL="0" distR="0" wp14:anchorId="6B74721E" wp14:editId="6D4AC79B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22E21A64" w14:textId="77777777" w:rsidR="001C1090" w:rsidRDefault="001C10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277C66"/>
    <w:multiLevelType w:val="hybridMultilevel"/>
    <w:tmpl w:val="3FAE7952"/>
    <w:lvl w:ilvl="0" w:tplc="9F423ECE">
      <w:start w:val="1"/>
      <w:numFmt w:val="bullet"/>
      <w:pStyle w:val="LHlistbulletpoints11ptbold"/>
      <w:lvlText w:val=""/>
      <w:lvlJc w:val="left"/>
      <w:pPr>
        <w:tabs>
          <w:tab w:val="num" w:pos="357"/>
        </w:tabs>
        <w:ind w:left="357" w:hanging="187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13EFA"/>
    <w:multiLevelType w:val="multilevel"/>
    <w:tmpl w:val="A12230F4"/>
    <w:numStyleLink w:val="TitleRuleListStyleLH"/>
  </w:abstractNum>
  <w:abstractNum w:abstractNumId="4" w15:restartNumberingAfterBreak="0">
    <w:nsid w:val="48B17334"/>
    <w:multiLevelType w:val="hybridMultilevel"/>
    <w:tmpl w:val="24F8BB42"/>
    <w:lvl w:ilvl="0" w:tplc="21E6E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52E17"/>
    <w:multiLevelType w:val="hybridMultilevel"/>
    <w:tmpl w:val="E988C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029B0"/>
    <w:rsid w:val="00004048"/>
    <w:rsid w:val="00007A44"/>
    <w:rsid w:val="00007F2D"/>
    <w:rsid w:val="00030D76"/>
    <w:rsid w:val="00033002"/>
    <w:rsid w:val="00043517"/>
    <w:rsid w:val="0004415A"/>
    <w:rsid w:val="00046F63"/>
    <w:rsid w:val="0005089B"/>
    <w:rsid w:val="00050FDD"/>
    <w:rsid w:val="0005455D"/>
    <w:rsid w:val="000545DF"/>
    <w:rsid w:val="000651BC"/>
    <w:rsid w:val="00066E54"/>
    <w:rsid w:val="00080353"/>
    <w:rsid w:val="000960BF"/>
    <w:rsid w:val="000A04AE"/>
    <w:rsid w:val="000A141A"/>
    <w:rsid w:val="000A7CF0"/>
    <w:rsid w:val="000B0078"/>
    <w:rsid w:val="000B3B46"/>
    <w:rsid w:val="000B4F50"/>
    <w:rsid w:val="000B590F"/>
    <w:rsid w:val="000C36D3"/>
    <w:rsid w:val="000C3800"/>
    <w:rsid w:val="000D689E"/>
    <w:rsid w:val="000E3C3F"/>
    <w:rsid w:val="000F7179"/>
    <w:rsid w:val="001009C9"/>
    <w:rsid w:val="001011C9"/>
    <w:rsid w:val="0012274D"/>
    <w:rsid w:val="00123152"/>
    <w:rsid w:val="0012604D"/>
    <w:rsid w:val="001261A3"/>
    <w:rsid w:val="0012733F"/>
    <w:rsid w:val="00130686"/>
    <w:rsid w:val="001419B4"/>
    <w:rsid w:val="00143E59"/>
    <w:rsid w:val="00145DB7"/>
    <w:rsid w:val="001504E0"/>
    <w:rsid w:val="00152864"/>
    <w:rsid w:val="00153BF7"/>
    <w:rsid w:val="00160285"/>
    <w:rsid w:val="00161E89"/>
    <w:rsid w:val="0016286A"/>
    <w:rsid w:val="00162E4F"/>
    <w:rsid w:val="00165B1E"/>
    <w:rsid w:val="0016799F"/>
    <w:rsid w:val="00170A3D"/>
    <w:rsid w:val="00171FA9"/>
    <w:rsid w:val="00172726"/>
    <w:rsid w:val="00175B0E"/>
    <w:rsid w:val="001800CF"/>
    <w:rsid w:val="0018187A"/>
    <w:rsid w:val="00184FFF"/>
    <w:rsid w:val="001853AD"/>
    <w:rsid w:val="0018608E"/>
    <w:rsid w:val="0018634A"/>
    <w:rsid w:val="001867CC"/>
    <w:rsid w:val="00186B71"/>
    <w:rsid w:val="00190FEA"/>
    <w:rsid w:val="00195BBB"/>
    <w:rsid w:val="001A0270"/>
    <w:rsid w:val="001A0627"/>
    <w:rsid w:val="001A1AD7"/>
    <w:rsid w:val="001C0F19"/>
    <w:rsid w:val="001C1090"/>
    <w:rsid w:val="001C1CDC"/>
    <w:rsid w:val="001C3EA6"/>
    <w:rsid w:val="001C545F"/>
    <w:rsid w:val="001D553A"/>
    <w:rsid w:val="001D5C5D"/>
    <w:rsid w:val="001E07CA"/>
    <w:rsid w:val="001E5E5D"/>
    <w:rsid w:val="001F300E"/>
    <w:rsid w:val="001F31AA"/>
    <w:rsid w:val="001F78DC"/>
    <w:rsid w:val="00201EA0"/>
    <w:rsid w:val="002039F7"/>
    <w:rsid w:val="00205729"/>
    <w:rsid w:val="002060E4"/>
    <w:rsid w:val="002073EE"/>
    <w:rsid w:val="002079A4"/>
    <w:rsid w:val="002148DF"/>
    <w:rsid w:val="00216BF5"/>
    <w:rsid w:val="0022708D"/>
    <w:rsid w:val="00236D59"/>
    <w:rsid w:val="00236F17"/>
    <w:rsid w:val="0024163B"/>
    <w:rsid w:val="002528AA"/>
    <w:rsid w:val="002541B4"/>
    <w:rsid w:val="00266134"/>
    <w:rsid w:val="00267E37"/>
    <w:rsid w:val="00272A8B"/>
    <w:rsid w:val="00273422"/>
    <w:rsid w:val="002846D1"/>
    <w:rsid w:val="00293ED1"/>
    <w:rsid w:val="002A02FD"/>
    <w:rsid w:val="002A63AE"/>
    <w:rsid w:val="002B3646"/>
    <w:rsid w:val="002C14A9"/>
    <w:rsid w:val="002C1C42"/>
    <w:rsid w:val="002C7051"/>
    <w:rsid w:val="002D02EC"/>
    <w:rsid w:val="002D658D"/>
    <w:rsid w:val="002D6676"/>
    <w:rsid w:val="002D6AB5"/>
    <w:rsid w:val="00317630"/>
    <w:rsid w:val="003218B7"/>
    <w:rsid w:val="00324710"/>
    <w:rsid w:val="00325386"/>
    <w:rsid w:val="003271EF"/>
    <w:rsid w:val="00327301"/>
    <w:rsid w:val="00327624"/>
    <w:rsid w:val="0033107B"/>
    <w:rsid w:val="0033528A"/>
    <w:rsid w:val="00336044"/>
    <w:rsid w:val="00346675"/>
    <w:rsid w:val="003524D2"/>
    <w:rsid w:val="0036234C"/>
    <w:rsid w:val="00362A9E"/>
    <w:rsid w:val="003631C6"/>
    <w:rsid w:val="003647D6"/>
    <w:rsid w:val="00372E4E"/>
    <w:rsid w:val="00384ACE"/>
    <w:rsid w:val="00392F28"/>
    <w:rsid w:val="003936A6"/>
    <w:rsid w:val="00393830"/>
    <w:rsid w:val="00395365"/>
    <w:rsid w:val="003A0771"/>
    <w:rsid w:val="003A5641"/>
    <w:rsid w:val="003C1C33"/>
    <w:rsid w:val="003C4A46"/>
    <w:rsid w:val="003D1502"/>
    <w:rsid w:val="003D44AF"/>
    <w:rsid w:val="003D54CC"/>
    <w:rsid w:val="003E1709"/>
    <w:rsid w:val="003E2431"/>
    <w:rsid w:val="003E5ED7"/>
    <w:rsid w:val="003F0881"/>
    <w:rsid w:val="003F3BF6"/>
    <w:rsid w:val="003F44D0"/>
    <w:rsid w:val="003F6706"/>
    <w:rsid w:val="00403BB8"/>
    <w:rsid w:val="00414742"/>
    <w:rsid w:val="0042257F"/>
    <w:rsid w:val="00424A81"/>
    <w:rsid w:val="00426CE8"/>
    <w:rsid w:val="00427687"/>
    <w:rsid w:val="00427EFC"/>
    <w:rsid w:val="004339F6"/>
    <w:rsid w:val="00437300"/>
    <w:rsid w:val="00437ED1"/>
    <w:rsid w:val="00445540"/>
    <w:rsid w:val="004457E3"/>
    <w:rsid w:val="004469AA"/>
    <w:rsid w:val="00446A0F"/>
    <w:rsid w:val="00446D5B"/>
    <w:rsid w:val="00452AF9"/>
    <w:rsid w:val="00466A15"/>
    <w:rsid w:val="00480881"/>
    <w:rsid w:val="0048169A"/>
    <w:rsid w:val="004831B2"/>
    <w:rsid w:val="00483739"/>
    <w:rsid w:val="00486725"/>
    <w:rsid w:val="00486D8D"/>
    <w:rsid w:val="00492DBB"/>
    <w:rsid w:val="0049467E"/>
    <w:rsid w:val="004948B2"/>
    <w:rsid w:val="00497B82"/>
    <w:rsid w:val="004C0F84"/>
    <w:rsid w:val="004C4B9A"/>
    <w:rsid w:val="004D3D8C"/>
    <w:rsid w:val="004D490A"/>
    <w:rsid w:val="004D5C67"/>
    <w:rsid w:val="004E2F9A"/>
    <w:rsid w:val="004E79C2"/>
    <w:rsid w:val="004F26A8"/>
    <w:rsid w:val="004F39E8"/>
    <w:rsid w:val="004F573E"/>
    <w:rsid w:val="004F5BD1"/>
    <w:rsid w:val="00500F71"/>
    <w:rsid w:val="00504C9C"/>
    <w:rsid w:val="00513915"/>
    <w:rsid w:val="00514E3E"/>
    <w:rsid w:val="0051501E"/>
    <w:rsid w:val="00516D9D"/>
    <w:rsid w:val="005272C5"/>
    <w:rsid w:val="005322B1"/>
    <w:rsid w:val="00533F42"/>
    <w:rsid w:val="0053545F"/>
    <w:rsid w:val="005357DA"/>
    <w:rsid w:val="00535EA6"/>
    <w:rsid w:val="00542B3B"/>
    <w:rsid w:val="00542EDB"/>
    <w:rsid w:val="005438BE"/>
    <w:rsid w:val="0054575A"/>
    <w:rsid w:val="00556698"/>
    <w:rsid w:val="005569B9"/>
    <w:rsid w:val="00560667"/>
    <w:rsid w:val="00562E30"/>
    <w:rsid w:val="005643A4"/>
    <w:rsid w:val="0057074F"/>
    <w:rsid w:val="00573547"/>
    <w:rsid w:val="00580450"/>
    <w:rsid w:val="005804AA"/>
    <w:rsid w:val="005811D9"/>
    <w:rsid w:val="005818F7"/>
    <w:rsid w:val="00585312"/>
    <w:rsid w:val="005853EE"/>
    <w:rsid w:val="00586047"/>
    <w:rsid w:val="00586171"/>
    <w:rsid w:val="00587EFB"/>
    <w:rsid w:val="00590EE5"/>
    <w:rsid w:val="00594D22"/>
    <w:rsid w:val="005973EE"/>
    <w:rsid w:val="005A625C"/>
    <w:rsid w:val="005A7FAE"/>
    <w:rsid w:val="005B6117"/>
    <w:rsid w:val="005B6972"/>
    <w:rsid w:val="005C3412"/>
    <w:rsid w:val="005D4CC9"/>
    <w:rsid w:val="005E304D"/>
    <w:rsid w:val="005E3773"/>
    <w:rsid w:val="005E64A6"/>
    <w:rsid w:val="005E6CC2"/>
    <w:rsid w:val="005F1AC2"/>
    <w:rsid w:val="005F6F7B"/>
    <w:rsid w:val="006013FE"/>
    <w:rsid w:val="00611C5E"/>
    <w:rsid w:val="006228BF"/>
    <w:rsid w:val="0062379B"/>
    <w:rsid w:val="00625892"/>
    <w:rsid w:val="006272C7"/>
    <w:rsid w:val="00631B86"/>
    <w:rsid w:val="006325F8"/>
    <w:rsid w:val="00652E53"/>
    <w:rsid w:val="00654254"/>
    <w:rsid w:val="006559AB"/>
    <w:rsid w:val="0065790E"/>
    <w:rsid w:val="00664D6C"/>
    <w:rsid w:val="00666CCB"/>
    <w:rsid w:val="00673DAF"/>
    <w:rsid w:val="006740CD"/>
    <w:rsid w:val="006802BD"/>
    <w:rsid w:val="006860BE"/>
    <w:rsid w:val="00697613"/>
    <w:rsid w:val="006977EB"/>
    <w:rsid w:val="006A72CE"/>
    <w:rsid w:val="006B2A63"/>
    <w:rsid w:val="006B4789"/>
    <w:rsid w:val="006B5C7C"/>
    <w:rsid w:val="006C4968"/>
    <w:rsid w:val="006C4C6D"/>
    <w:rsid w:val="006D0A0B"/>
    <w:rsid w:val="006D1720"/>
    <w:rsid w:val="006D4CC3"/>
    <w:rsid w:val="006E25BD"/>
    <w:rsid w:val="006E37B4"/>
    <w:rsid w:val="006E3CD0"/>
    <w:rsid w:val="006E552F"/>
    <w:rsid w:val="006F0A1C"/>
    <w:rsid w:val="007011A9"/>
    <w:rsid w:val="0070344C"/>
    <w:rsid w:val="0070698F"/>
    <w:rsid w:val="007109B4"/>
    <w:rsid w:val="00710C71"/>
    <w:rsid w:val="00727291"/>
    <w:rsid w:val="00730D75"/>
    <w:rsid w:val="0073218B"/>
    <w:rsid w:val="00736951"/>
    <w:rsid w:val="00742FD0"/>
    <w:rsid w:val="007432FC"/>
    <w:rsid w:val="00744120"/>
    <w:rsid w:val="00744D71"/>
    <w:rsid w:val="00747169"/>
    <w:rsid w:val="0074751F"/>
    <w:rsid w:val="0075403F"/>
    <w:rsid w:val="00756746"/>
    <w:rsid w:val="00761197"/>
    <w:rsid w:val="00765E13"/>
    <w:rsid w:val="00775D00"/>
    <w:rsid w:val="007760C0"/>
    <w:rsid w:val="0078098F"/>
    <w:rsid w:val="00780EF4"/>
    <w:rsid w:val="00784A81"/>
    <w:rsid w:val="00786954"/>
    <w:rsid w:val="00796CF6"/>
    <w:rsid w:val="007A44E3"/>
    <w:rsid w:val="007A5274"/>
    <w:rsid w:val="007B0449"/>
    <w:rsid w:val="007C1C52"/>
    <w:rsid w:val="007C26A4"/>
    <w:rsid w:val="007C2DD9"/>
    <w:rsid w:val="007C3388"/>
    <w:rsid w:val="007C4218"/>
    <w:rsid w:val="007C451C"/>
    <w:rsid w:val="007C6D83"/>
    <w:rsid w:val="007C76E0"/>
    <w:rsid w:val="007D615C"/>
    <w:rsid w:val="007D6553"/>
    <w:rsid w:val="007E4A9F"/>
    <w:rsid w:val="007F0F49"/>
    <w:rsid w:val="007F2586"/>
    <w:rsid w:val="007F446E"/>
    <w:rsid w:val="00800CD3"/>
    <w:rsid w:val="00803832"/>
    <w:rsid w:val="00806E50"/>
    <w:rsid w:val="008117CA"/>
    <w:rsid w:val="00812927"/>
    <w:rsid w:val="00824226"/>
    <w:rsid w:val="00826282"/>
    <w:rsid w:val="00827B5A"/>
    <w:rsid w:val="00831A4B"/>
    <w:rsid w:val="008334E5"/>
    <w:rsid w:val="00834ED4"/>
    <w:rsid w:val="00837F90"/>
    <w:rsid w:val="00844743"/>
    <w:rsid w:val="0085166D"/>
    <w:rsid w:val="0085320C"/>
    <w:rsid w:val="00857C97"/>
    <w:rsid w:val="008758D2"/>
    <w:rsid w:val="00876A80"/>
    <w:rsid w:val="008834E2"/>
    <w:rsid w:val="00885039"/>
    <w:rsid w:val="0088513F"/>
    <w:rsid w:val="00885628"/>
    <w:rsid w:val="00890A35"/>
    <w:rsid w:val="008952FF"/>
    <w:rsid w:val="008A4616"/>
    <w:rsid w:val="008A4956"/>
    <w:rsid w:val="008B0B0D"/>
    <w:rsid w:val="008B2FEE"/>
    <w:rsid w:val="008C50C9"/>
    <w:rsid w:val="008C79FB"/>
    <w:rsid w:val="008D1C63"/>
    <w:rsid w:val="008D2958"/>
    <w:rsid w:val="008D637A"/>
    <w:rsid w:val="008D6EF0"/>
    <w:rsid w:val="008F441B"/>
    <w:rsid w:val="008F7489"/>
    <w:rsid w:val="0090279F"/>
    <w:rsid w:val="009169F9"/>
    <w:rsid w:val="0092353E"/>
    <w:rsid w:val="00925B42"/>
    <w:rsid w:val="00926D6E"/>
    <w:rsid w:val="009314EE"/>
    <w:rsid w:val="0093152D"/>
    <w:rsid w:val="009330B7"/>
    <w:rsid w:val="00935CF3"/>
    <w:rsid w:val="0093605C"/>
    <w:rsid w:val="009521CD"/>
    <w:rsid w:val="00952FB7"/>
    <w:rsid w:val="00955ED8"/>
    <w:rsid w:val="00956C4A"/>
    <w:rsid w:val="00965077"/>
    <w:rsid w:val="00967BAF"/>
    <w:rsid w:val="00967FB1"/>
    <w:rsid w:val="00971328"/>
    <w:rsid w:val="00971AFC"/>
    <w:rsid w:val="009723A2"/>
    <w:rsid w:val="009730C2"/>
    <w:rsid w:val="0097521B"/>
    <w:rsid w:val="009760E9"/>
    <w:rsid w:val="009763C7"/>
    <w:rsid w:val="00976B80"/>
    <w:rsid w:val="00984516"/>
    <w:rsid w:val="0098466E"/>
    <w:rsid w:val="00985295"/>
    <w:rsid w:val="00996CDC"/>
    <w:rsid w:val="009A3D17"/>
    <w:rsid w:val="009A6662"/>
    <w:rsid w:val="009B5053"/>
    <w:rsid w:val="009C5064"/>
    <w:rsid w:val="009C6664"/>
    <w:rsid w:val="009D05B7"/>
    <w:rsid w:val="009D6154"/>
    <w:rsid w:val="009D753A"/>
    <w:rsid w:val="009E128E"/>
    <w:rsid w:val="009E27D6"/>
    <w:rsid w:val="009E29F3"/>
    <w:rsid w:val="009E3C26"/>
    <w:rsid w:val="009E66C0"/>
    <w:rsid w:val="009E69CD"/>
    <w:rsid w:val="009E7F9B"/>
    <w:rsid w:val="009F3C32"/>
    <w:rsid w:val="009F5B06"/>
    <w:rsid w:val="009F7466"/>
    <w:rsid w:val="00A00447"/>
    <w:rsid w:val="00A00708"/>
    <w:rsid w:val="00A0162D"/>
    <w:rsid w:val="00A016FA"/>
    <w:rsid w:val="00A11FE9"/>
    <w:rsid w:val="00A167EA"/>
    <w:rsid w:val="00A21FC6"/>
    <w:rsid w:val="00A3724C"/>
    <w:rsid w:val="00A467A3"/>
    <w:rsid w:val="00A46E66"/>
    <w:rsid w:val="00A54708"/>
    <w:rsid w:val="00A65C54"/>
    <w:rsid w:val="00A72477"/>
    <w:rsid w:val="00A74738"/>
    <w:rsid w:val="00A77449"/>
    <w:rsid w:val="00A805AD"/>
    <w:rsid w:val="00A819AA"/>
    <w:rsid w:val="00A85747"/>
    <w:rsid w:val="00A87B82"/>
    <w:rsid w:val="00A95B10"/>
    <w:rsid w:val="00A95EBC"/>
    <w:rsid w:val="00A96ED8"/>
    <w:rsid w:val="00A96FD0"/>
    <w:rsid w:val="00AA036E"/>
    <w:rsid w:val="00AA3847"/>
    <w:rsid w:val="00AB1274"/>
    <w:rsid w:val="00AB1AA5"/>
    <w:rsid w:val="00AB7913"/>
    <w:rsid w:val="00AC10D4"/>
    <w:rsid w:val="00AC1B39"/>
    <w:rsid w:val="00AC2129"/>
    <w:rsid w:val="00AC584E"/>
    <w:rsid w:val="00AC6B02"/>
    <w:rsid w:val="00AD563D"/>
    <w:rsid w:val="00AD5D34"/>
    <w:rsid w:val="00AE73D7"/>
    <w:rsid w:val="00AF1F99"/>
    <w:rsid w:val="00AF33B0"/>
    <w:rsid w:val="00B0080B"/>
    <w:rsid w:val="00B0575E"/>
    <w:rsid w:val="00B06800"/>
    <w:rsid w:val="00B122A4"/>
    <w:rsid w:val="00B12E5C"/>
    <w:rsid w:val="00B140CA"/>
    <w:rsid w:val="00B22EC4"/>
    <w:rsid w:val="00B30338"/>
    <w:rsid w:val="00B41CF9"/>
    <w:rsid w:val="00B432B3"/>
    <w:rsid w:val="00B444AB"/>
    <w:rsid w:val="00B51BEA"/>
    <w:rsid w:val="00B61CEE"/>
    <w:rsid w:val="00B63150"/>
    <w:rsid w:val="00B63204"/>
    <w:rsid w:val="00B6499B"/>
    <w:rsid w:val="00B71B47"/>
    <w:rsid w:val="00B76EFA"/>
    <w:rsid w:val="00B80073"/>
    <w:rsid w:val="00B81ED6"/>
    <w:rsid w:val="00B82B13"/>
    <w:rsid w:val="00B831DB"/>
    <w:rsid w:val="00B83478"/>
    <w:rsid w:val="00B86BBE"/>
    <w:rsid w:val="00B86F61"/>
    <w:rsid w:val="00BA25CA"/>
    <w:rsid w:val="00BA5B45"/>
    <w:rsid w:val="00BA706F"/>
    <w:rsid w:val="00BA7E88"/>
    <w:rsid w:val="00BB0634"/>
    <w:rsid w:val="00BB0BF7"/>
    <w:rsid w:val="00BB0BFF"/>
    <w:rsid w:val="00BB195D"/>
    <w:rsid w:val="00BB3785"/>
    <w:rsid w:val="00BC0485"/>
    <w:rsid w:val="00BC37B4"/>
    <w:rsid w:val="00BC4F77"/>
    <w:rsid w:val="00BC65D6"/>
    <w:rsid w:val="00BD537A"/>
    <w:rsid w:val="00BD6887"/>
    <w:rsid w:val="00BD69C0"/>
    <w:rsid w:val="00BD7045"/>
    <w:rsid w:val="00BE0C8B"/>
    <w:rsid w:val="00BF53D8"/>
    <w:rsid w:val="00C02702"/>
    <w:rsid w:val="00C02C50"/>
    <w:rsid w:val="00C03D94"/>
    <w:rsid w:val="00C03F30"/>
    <w:rsid w:val="00C04157"/>
    <w:rsid w:val="00C04A58"/>
    <w:rsid w:val="00C0691E"/>
    <w:rsid w:val="00C078D3"/>
    <w:rsid w:val="00C12597"/>
    <w:rsid w:val="00C158F9"/>
    <w:rsid w:val="00C31012"/>
    <w:rsid w:val="00C32B66"/>
    <w:rsid w:val="00C32CBA"/>
    <w:rsid w:val="00C37D3C"/>
    <w:rsid w:val="00C44710"/>
    <w:rsid w:val="00C464EC"/>
    <w:rsid w:val="00C546EF"/>
    <w:rsid w:val="00C640A1"/>
    <w:rsid w:val="00C64FD2"/>
    <w:rsid w:val="00C65D84"/>
    <w:rsid w:val="00C723B4"/>
    <w:rsid w:val="00C72420"/>
    <w:rsid w:val="00C72A92"/>
    <w:rsid w:val="00C77574"/>
    <w:rsid w:val="00C91A65"/>
    <w:rsid w:val="00C92F91"/>
    <w:rsid w:val="00C96557"/>
    <w:rsid w:val="00CA4788"/>
    <w:rsid w:val="00CA4D2C"/>
    <w:rsid w:val="00CA75FB"/>
    <w:rsid w:val="00CB0110"/>
    <w:rsid w:val="00CB1E46"/>
    <w:rsid w:val="00CB3C86"/>
    <w:rsid w:val="00CB48B5"/>
    <w:rsid w:val="00CC0BF7"/>
    <w:rsid w:val="00CD1EC8"/>
    <w:rsid w:val="00CD4740"/>
    <w:rsid w:val="00CD53A6"/>
    <w:rsid w:val="00CE006C"/>
    <w:rsid w:val="00CE65E4"/>
    <w:rsid w:val="00CE679B"/>
    <w:rsid w:val="00CF06A7"/>
    <w:rsid w:val="00CF2BAD"/>
    <w:rsid w:val="00CF422A"/>
    <w:rsid w:val="00CF44CC"/>
    <w:rsid w:val="00CF5B18"/>
    <w:rsid w:val="00D32924"/>
    <w:rsid w:val="00D34B59"/>
    <w:rsid w:val="00D40D79"/>
    <w:rsid w:val="00D47EF2"/>
    <w:rsid w:val="00D51EBA"/>
    <w:rsid w:val="00D5344B"/>
    <w:rsid w:val="00D62C69"/>
    <w:rsid w:val="00D63B50"/>
    <w:rsid w:val="00D74B03"/>
    <w:rsid w:val="00D76562"/>
    <w:rsid w:val="00D77991"/>
    <w:rsid w:val="00D82929"/>
    <w:rsid w:val="00D83B8E"/>
    <w:rsid w:val="00D85DAD"/>
    <w:rsid w:val="00D91008"/>
    <w:rsid w:val="00D923D0"/>
    <w:rsid w:val="00D93257"/>
    <w:rsid w:val="00D95714"/>
    <w:rsid w:val="00DA0711"/>
    <w:rsid w:val="00DA19EB"/>
    <w:rsid w:val="00DA4B25"/>
    <w:rsid w:val="00DA4BFF"/>
    <w:rsid w:val="00DB0188"/>
    <w:rsid w:val="00DB342C"/>
    <w:rsid w:val="00DB3716"/>
    <w:rsid w:val="00DC26F8"/>
    <w:rsid w:val="00DC6497"/>
    <w:rsid w:val="00DD40C6"/>
    <w:rsid w:val="00DD5C63"/>
    <w:rsid w:val="00DD7101"/>
    <w:rsid w:val="00DE2528"/>
    <w:rsid w:val="00DE2A03"/>
    <w:rsid w:val="00DE4E20"/>
    <w:rsid w:val="00DE5577"/>
    <w:rsid w:val="00DF0546"/>
    <w:rsid w:val="00DF40C0"/>
    <w:rsid w:val="00DF7981"/>
    <w:rsid w:val="00E05C50"/>
    <w:rsid w:val="00E07B85"/>
    <w:rsid w:val="00E17645"/>
    <w:rsid w:val="00E2243C"/>
    <w:rsid w:val="00E260E6"/>
    <w:rsid w:val="00E32363"/>
    <w:rsid w:val="00E42BD3"/>
    <w:rsid w:val="00E516C8"/>
    <w:rsid w:val="00E52803"/>
    <w:rsid w:val="00E52C50"/>
    <w:rsid w:val="00E54B71"/>
    <w:rsid w:val="00E551AF"/>
    <w:rsid w:val="00E554F9"/>
    <w:rsid w:val="00E5702F"/>
    <w:rsid w:val="00E60229"/>
    <w:rsid w:val="00E604DC"/>
    <w:rsid w:val="00E64B44"/>
    <w:rsid w:val="00E65C98"/>
    <w:rsid w:val="00E66F45"/>
    <w:rsid w:val="00E67242"/>
    <w:rsid w:val="00E718C9"/>
    <w:rsid w:val="00E75065"/>
    <w:rsid w:val="00E81F72"/>
    <w:rsid w:val="00E847CC"/>
    <w:rsid w:val="00E86398"/>
    <w:rsid w:val="00E93B55"/>
    <w:rsid w:val="00E94728"/>
    <w:rsid w:val="00E96168"/>
    <w:rsid w:val="00EA26F3"/>
    <w:rsid w:val="00EB6423"/>
    <w:rsid w:val="00EC626D"/>
    <w:rsid w:val="00EE6BD9"/>
    <w:rsid w:val="00EF555B"/>
    <w:rsid w:val="00EF7B39"/>
    <w:rsid w:val="00F00C83"/>
    <w:rsid w:val="00F015C2"/>
    <w:rsid w:val="00F04AF7"/>
    <w:rsid w:val="00F07120"/>
    <w:rsid w:val="00F15C36"/>
    <w:rsid w:val="00F15DF2"/>
    <w:rsid w:val="00F204E3"/>
    <w:rsid w:val="00F21C4A"/>
    <w:rsid w:val="00F337C4"/>
    <w:rsid w:val="00F40615"/>
    <w:rsid w:val="00F40E96"/>
    <w:rsid w:val="00F45FEE"/>
    <w:rsid w:val="00F54DE2"/>
    <w:rsid w:val="00F55930"/>
    <w:rsid w:val="00F55C98"/>
    <w:rsid w:val="00F57874"/>
    <w:rsid w:val="00F64B79"/>
    <w:rsid w:val="00F66BC4"/>
    <w:rsid w:val="00F73108"/>
    <w:rsid w:val="00F7626F"/>
    <w:rsid w:val="00F812B2"/>
    <w:rsid w:val="00F81B6B"/>
    <w:rsid w:val="00F92E30"/>
    <w:rsid w:val="00F93866"/>
    <w:rsid w:val="00F95D29"/>
    <w:rsid w:val="00F976BB"/>
    <w:rsid w:val="00FB3FD0"/>
    <w:rsid w:val="00FC260E"/>
    <w:rsid w:val="00FC6F6F"/>
    <w:rsid w:val="00FE7045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30DF3C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link w:val="berschrift1Zchn"/>
    <w:uiPriority w:val="9"/>
    <w:qFormat/>
    <w:rsid w:val="00E60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697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spacing w:after="0" w:line="300" w:lineRule="exact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23A2"/>
    <w:rPr>
      <w:rFonts w:ascii="Segoe UI" w:hAnsi="Segoe UI" w:cs="Segoe UI"/>
      <w:sz w:val="18"/>
      <w:szCs w:val="18"/>
    </w:rPr>
  </w:style>
  <w:style w:type="paragraph" w:customStyle="1" w:styleId="Presse-Flietext">
    <w:name w:val="Presse-Fließtext"/>
    <w:basedOn w:val="Standard"/>
    <w:autoRedefine/>
    <w:rsid w:val="001E07CA"/>
    <w:pPr>
      <w:spacing w:after="360" w:line="360" w:lineRule="auto"/>
      <w:jc w:val="both"/>
    </w:pPr>
    <w:rPr>
      <w:rFonts w:ascii="Arial" w:eastAsia="Times New Roman" w:hAnsi="Arial" w:cs="Times New Roman"/>
      <w:color w:val="000000" w:themeColor="text1"/>
      <w:sz w:val="24"/>
      <w:lang w:eastAsia="de-DE"/>
    </w:rPr>
  </w:style>
  <w:style w:type="paragraph" w:customStyle="1" w:styleId="LHlistbulletpoints11ptbold">
    <w:name w:val="LH_list bullet points 11pt bold"/>
    <w:basedOn w:val="Standard"/>
    <w:qFormat/>
    <w:rsid w:val="00E94728"/>
    <w:pPr>
      <w:numPr>
        <w:numId w:val="5"/>
      </w:numPr>
      <w:tabs>
        <w:tab w:val="clear" w:pos="357"/>
        <w:tab w:val="left" w:pos="170"/>
      </w:tabs>
      <w:suppressAutoHyphens/>
      <w:spacing w:after="0" w:line="360" w:lineRule="auto"/>
      <w:ind w:left="187"/>
    </w:pPr>
    <w:rPr>
      <w:rFonts w:ascii="Arial" w:hAnsi="Arial"/>
      <w:b/>
      <w:szCs w:val="1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973E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022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q4iawc">
    <w:name w:val="q4iawc"/>
    <w:basedOn w:val="Absatz-Standardschriftart"/>
    <w:rsid w:val="00DD7101"/>
  </w:style>
  <w:style w:type="paragraph" w:styleId="Listenabsatz">
    <w:name w:val="List Paragraph"/>
    <w:basedOn w:val="Standard"/>
    <w:uiPriority w:val="34"/>
    <w:rsid w:val="00E8639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77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ess5-Body">
    <w:name w:val="Press 5 - Body"/>
    <w:basedOn w:val="Standard"/>
    <w:qFormat/>
    <w:rsid w:val="00796CF6"/>
    <w:pPr>
      <w:suppressAutoHyphens/>
      <w:spacing w:after="360" w:line="360" w:lineRule="auto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styleId="berarbeitung">
    <w:name w:val="Revision"/>
    <w:hidden/>
    <w:uiPriority w:val="99"/>
    <w:semiHidden/>
    <w:rsid w:val="00AF33B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C26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26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26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26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26F8"/>
    <w:rPr>
      <w:b/>
      <w:bCs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95E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95EB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ebher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467BA-D594-491F-B2AC-7B3612956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4BDA2-D5B3-4F1F-BEED-EE077602F16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4BD6B6-6860-4719-BFC9-20BB19A4A1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F3B81-CE41-46FF-8382-895C535AB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7213</Characters>
  <Application>Microsoft Office Word</Application>
  <DocSecurity>0</DocSecurity>
  <Lines>60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Headlin</vt:lpstr>
      <vt:lpstr>Headlin</vt:lpstr>
      <vt:lpstr>Headlin</vt:lpstr>
    </vt:vector>
  </TitlesOfParts>
  <Company>Liebherr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Merker Anja (LHO)</cp:lastModifiedBy>
  <cp:revision>4</cp:revision>
  <cp:lastPrinted>2022-09-08T09:25:00Z</cp:lastPrinted>
  <dcterms:created xsi:type="dcterms:W3CDTF">2022-09-27T08:38:00Z</dcterms:created>
  <dcterms:modified xsi:type="dcterms:W3CDTF">2022-10-10T11:38:00Z</dcterms:modified>
  <cp:category>Presseinformation</cp:category>
</cp:coreProperties>
</file>