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6E437F" w:rsidRPr="00CF50F6" w:rsidRDefault="00E847CC" w:rsidP="00E847CC">
      <w:pPr>
        <w:pStyle w:val="Topline16Pt"/>
      </w:pPr>
      <w:r w:rsidRPr="00CF50F6">
        <w:t>Comunicato stampa</w:t>
      </w:r>
    </w:p>
    <w:p w14:paraId="2D95C493" w14:textId="159BEC47" w:rsidR="00E847CC" w:rsidRPr="00CF50F6" w:rsidRDefault="00E80805" w:rsidP="00E847CC">
      <w:pPr>
        <w:pStyle w:val="HeadlineH233Pt"/>
        <w:spacing w:line="240" w:lineRule="auto"/>
        <w:rPr>
          <w:rFonts w:cs="Arial"/>
          <w:szCs w:val="66"/>
        </w:rPr>
      </w:pPr>
      <w:r w:rsidRPr="00CF50F6">
        <w:rPr>
          <w:rFonts w:cs="Arial"/>
        </w:rPr>
        <w:t>L'LRB 23 continua la storia di successo dell'</w:t>
      </w:r>
      <w:r w:rsidRPr="00CF50F6">
        <w:t xml:space="preserve">impianto di palificazione e trivellazione </w:t>
      </w:r>
      <w:r w:rsidRPr="00CF50F6">
        <w:rPr>
          <w:rFonts w:cs="Arial"/>
        </w:rPr>
        <w:t xml:space="preserve">di Liebherr </w:t>
      </w:r>
    </w:p>
    <w:p w14:paraId="4EAE8E32" w14:textId="293FB771" w:rsidR="001407EB" w:rsidRPr="00CF50F6" w:rsidRDefault="00B81ED6" w:rsidP="001407EB">
      <w:pPr>
        <w:pStyle w:val="HeadlineH233Pt"/>
        <w:spacing w:before="240" w:after="240" w:line="140" w:lineRule="exact"/>
        <w:rPr>
          <w:rFonts w:ascii="Tahoma" w:hAnsi="Tahoma" w:cs="Tahoma"/>
        </w:rPr>
      </w:pPr>
      <w:r w:rsidRPr="00CF50F6">
        <w:rPr>
          <w:rFonts w:ascii="Tahoma" w:hAnsi="Tahoma" w:cs="Tahoma"/>
        </w:rPr>
        <w:t>⸺</w:t>
      </w:r>
    </w:p>
    <w:p w14:paraId="284EFF33" w14:textId="48250D6D" w:rsidR="00CD300D" w:rsidRPr="00CF50F6" w:rsidRDefault="00265008" w:rsidP="001407EB">
      <w:pPr>
        <w:pStyle w:val="Bulletpoints11Pt"/>
        <w:numPr>
          <w:ilvl w:val="0"/>
          <w:numId w:val="7"/>
        </w:numPr>
        <w:ind w:left="284" w:hanging="284"/>
      </w:pPr>
      <w:r w:rsidRPr="00CF50F6">
        <w:t>Maggiore efficienza grazie alla potenza del motore di 600 kW</w:t>
      </w:r>
    </w:p>
    <w:p w14:paraId="4361156E" w14:textId="5AEA4E4F" w:rsidR="00EB7A1A" w:rsidRPr="00CF50F6" w:rsidRDefault="00730680" w:rsidP="001407EB">
      <w:pPr>
        <w:pStyle w:val="Bulletpoints11Pt"/>
        <w:numPr>
          <w:ilvl w:val="0"/>
          <w:numId w:val="7"/>
        </w:numPr>
        <w:ind w:left="284" w:hanging="284"/>
      </w:pPr>
      <w:r w:rsidRPr="00CF50F6">
        <w:t xml:space="preserve">Trivellazione con asta </w:t>
      </w:r>
      <w:proofErr w:type="spellStart"/>
      <w:r w:rsidRPr="00CF50F6">
        <w:t>kelly</w:t>
      </w:r>
      <w:proofErr w:type="spellEnd"/>
      <w:r w:rsidRPr="00CF50F6">
        <w:t xml:space="preserve"> unica in questo ordine di grandezza</w:t>
      </w:r>
    </w:p>
    <w:p w14:paraId="47F037DF" w14:textId="4367A996" w:rsidR="00694375" w:rsidRPr="00CF50F6" w:rsidRDefault="00265008" w:rsidP="00C745AD">
      <w:pPr>
        <w:pStyle w:val="Bulletpoints11Pt"/>
        <w:numPr>
          <w:ilvl w:val="0"/>
          <w:numId w:val="7"/>
        </w:numPr>
        <w:ind w:left="284" w:hanging="284"/>
      </w:pPr>
      <w:r w:rsidRPr="00CF50F6">
        <w:t xml:space="preserve">Nuovi sistemi di assistenza: l'innovativa visualizzazione dell'asta </w:t>
      </w:r>
      <w:proofErr w:type="spellStart"/>
      <w:r w:rsidRPr="00CF50F6">
        <w:t>kelly</w:t>
      </w:r>
      <w:proofErr w:type="spellEnd"/>
      <w:r w:rsidRPr="00CF50F6">
        <w:t xml:space="preserve"> e l'assistente alla trivellazione</w:t>
      </w:r>
    </w:p>
    <w:p w14:paraId="24E6D182" w14:textId="7F25BD9D" w:rsidR="0091394D" w:rsidRPr="00CF50F6" w:rsidRDefault="00EB7A1A" w:rsidP="00C745AD">
      <w:pPr>
        <w:pStyle w:val="Teaser11Pt"/>
        <w:rPr>
          <w:b w:val="0"/>
        </w:rPr>
      </w:pPr>
      <w:r w:rsidRPr="00CF50F6">
        <w:t>Con il nuovo impianto di palificazione e trivellazion</w:t>
      </w:r>
      <w:bookmarkStart w:id="0" w:name="_GoBack"/>
      <w:bookmarkEnd w:id="0"/>
      <w:r w:rsidRPr="00CF50F6">
        <w:t>e LRB 23, Liebherr colma il divario tra l'LRB</w:t>
      </w:r>
      <w:r w:rsidR="002D4434" w:rsidRPr="00CF50F6">
        <w:t> </w:t>
      </w:r>
      <w:r w:rsidRPr="00CF50F6">
        <w:t xml:space="preserve">16 e l'ormai affermato LRB 355. Le dimensioni </w:t>
      </w:r>
      <w:r w:rsidR="003775F4" w:rsidRPr="00CF50F6">
        <w:t xml:space="preserve">compatte rendono questa macchina  </w:t>
      </w:r>
      <w:r w:rsidRPr="00CF50F6">
        <w:t xml:space="preserve">universale </w:t>
      </w:r>
      <w:r w:rsidR="003775F4" w:rsidRPr="00CF50F6">
        <w:t>e perfetta</w:t>
      </w:r>
      <w:r w:rsidRPr="00CF50F6">
        <w:t xml:space="preserve"> per lavori nel sottosuolo. Gli innovativi sistemi di assistenza facilitano l'impiego in cantiere e garantiscono la massima sicurezza.</w:t>
      </w:r>
    </w:p>
    <w:p w14:paraId="5F033CC1" w14:textId="31BB4624" w:rsidR="00EB7A1A" w:rsidRPr="00CF50F6" w:rsidRDefault="00CC2E2B" w:rsidP="00EB7A1A">
      <w:pPr>
        <w:pStyle w:val="Copytext11Pt"/>
      </w:pPr>
      <w:r w:rsidRPr="00CF50F6">
        <w:t xml:space="preserve">Monaco di Baviera (Germania), 24 ottobre 2022 - Il nuovo talento universale per lavori nel sottosuolo offre un'impressionante potenza del motore di 600 kW, che consente di fornire la capacità necessaria per tutte le più comuni applicazioni di lavori nel sottosuolo, come la trivellazione con attrezzature </w:t>
      </w:r>
      <w:proofErr w:type="spellStart"/>
      <w:r w:rsidRPr="00CF50F6">
        <w:t>kelly</w:t>
      </w:r>
      <w:proofErr w:type="spellEnd"/>
      <w:r w:rsidRPr="00CF50F6">
        <w:t>, la testa di trivellazione doppia, l'utensile di spostamento a pieno carico e l'elica continua, la miscelazione del terreno e gli impieghi con vibratori e martelli idraulici.</w:t>
      </w:r>
    </w:p>
    <w:p w14:paraId="1A3E9254" w14:textId="1ADD26E0" w:rsidR="00EB7A1A" w:rsidRPr="00CF50F6" w:rsidRDefault="00EB7A1A" w:rsidP="00EB7A1A">
      <w:pPr>
        <w:pStyle w:val="Copytext11Pt"/>
      </w:pPr>
      <w:r w:rsidRPr="00CF50F6">
        <w:t>Il design compatto consente di trasportare l'LRB 23 in un unico pezzo da un cantiere all'altro per un utilizzo flessibile. Il radiocomando facilita il processo di carico durante il trasporto e il montaggio dell'impianto.</w:t>
      </w:r>
    </w:p>
    <w:p w14:paraId="6D806EAA" w14:textId="09525D96" w:rsidR="00EB7A1A" w:rsidRPr="00CF50F6" w:rsidRDefault="00EB7A1A" w:rsidP="00EB7A1A">
      <w:pPr>
        <w:pStyle w:val="Copytext11Pt"/>
      </w:pPr>
      <w:r w:rsidRPr="00CF50F6">
        <w:t xml:space="preserve">Nell'uso, la slitta battipalo rigida mostra tutti i suoi vantaggi. Poiché è in grado di sopportare coppie elevate, è possibile anche la trivellazione con asta </w:t>
      </w:r>
      <w:proofErr w:type="spellStart"/>
      <w:r w:rsidRPr="00CF50F6">
        <w:t>kelly</w:t>
      </w:r>
      <w:proofErr w:type="spellEnd"/>
      <w:r w:rsidRPr="00CF50F6">
        <w:t>, una caratteristica unica per un impianto di questa categoria di dimensioni. Il gruppo di trivellazione BAT 300 fornisce una coppia massima di 300</w:t>
      </w:r>
      <w:r w:rsidR="002D4434" w:rsidRPr="00CF50F6">
        <w:t> </w:t>
      </w:r>
      <w:proofErr w:type="spellStart"/>
      <w:r w:rsidRPr="00CF50F6">
        <w:t>kNm</w:t>
      </w:r>
      <w:proofErr w:type="spellEnd"/>
      <w:r w:rsidRPr="00CF50F6">
        <w:t>.</w:t>
      </w:r>
    </w:p>
    <w:p w14:paraId="0FD9D262" w14:textId="1A80D116" w:rsidR="00E80805" w:rsidRPr="00CF50F6" w:rsidRDefault="00660681" w:rsidP="00E80805">
      <w:pPr>
        <w:pStyle w:val="Copyhead11Pt"/>
      </w:pPr>
      <w:r w:rsidRPr="00CF50F6">
        <w:t>Massima efficienza e sicurezza grazie ai sistemi di assistenza digitali</w:t>
      </w:r>
    </w:p>
    <w:p w14:paraId="73225AE7" w14:textId="77777777" w:rsidR="00EB7A1A" w:rsidRPr="00CF50F6" w:rsidRDefault="00EB7A1A" w:rsidP="00EB7A1A">
      <w:pPr>
        <w:pStyle w:val="Copytext11Pt"/>
      </w:pPr>
      <w:r w:rsidRPr="00CF50F6">
        <w:t xml:space="preserve">Mediante la visualizzazione dell'asta </w:t>
      </w:r>
      <w:proofErr w:type="spellStart"/>
      <w:r w:rsidRPr="00CF50F6">
        <w:t>kelly</w:t>
      </w:r>
      <w:proofErr w:type="spellEnd"/>
      <w:r w:rsidRPr="00CF50F6">
        <w:t xml:space="preserve"> dell'LRB 23, le sezioni telescopiche dell'asta </w:t>
      </w:r>
      <w:proofErr w:type="spellStart"/>
      <w:r w:rsidRPr="00CF50F6">
        <w:t>kelly</w:t>
      </w:r>
      <w:proofErr w:type="spellEnd"/>
      <w:r w:rsidRPr="00CF50F6">
        <w:t xml:space="preserve"> possono essere bloccate in modo nettamente più semplice. Grazie alla visualizzazione in tempo reale delle cavità di bloccaggio dell'asta </w:t>
      </w:r>
      <w:proofErr w:type="spellStart"/>
      <w:r w:rsidRPr="00CF50F6">
        <w:t>kelly</w:t>
      </w:r>
      <w:proofErr w:type="spellEnd"/>
      <w:r w:rsidRPr="00CF50F6">
        <w:t xml:space="preserve"> sul monitor della cabina, l'operatore è sempre informato sulla distanza effettiva dalla cavità di bloccaggio successiva. Un display che cambia colore indica quando l'asta può </w:t>
      </w:r>
      <w:r w:rsidRPr="00CF50F6">
        <w:lastRenderedPageBreak/>
        <w:t xml:space="preserve">essere bloccata. Se l'asta </w:t>
      </w:r>
      <w:proofErr w:type="spellStart"/>
      <w:r w:rsidRPr="00CF50F6">
        <w:t>kelly</w:t>
      </w:r>
      <w:proofErr w:type="spellEnd"/>
      <w:r w:rsidRPr="00CF50F6">
        <w:t xml:space="preserve"> si trova nella posizione errata durante il processo di scuotimento, viene visualizzato un segnale di avvertimento.</w:t>
      </w:r>
    </w:p>
    <w:p w14:paraId="08064688" w14:textId="1F74674E" w:rsidR="00EB7A1A" w:rsidRPr="00CF50F6" w:rsidRDefault="00EB7A1A" w:rsidP="00EB7A1A">
      <w:pPr>
        <w:pStyle w:val="Copytext11Pt"/>
      </w:pPr>
      <w:r w:rsidRPr="00CF50F6">
        <w:t>L'assistente alla trivellazione consente di automatizzare il processo di preparazione del calcestruzzo durante la trivellazione a elica continua. Tutti i sistemi di assistenza contribuiscono al risparmio di tempo, a una maggiore disponibilità della macchina e a una maggiore sicurezza durante il funzionamento. L'impianto di palificazione e trivellazione di nuova concezione si contraddistingue grazie alla precisione, alle elevate prestazioni e alla lunga durata.</w:t>
      </w:r>
    </w:p>
    <w:p w14:paraId="74E4261E" w14:textId="5FC32273" w:rsidR="00EB7A1A" w:rsidRPr="00CF50F6" w:rsidRDefault="00660681" w:rsidP="00F03411">
      <w:pPr>
        <w:pStyle w:val="Copytext11Pt"/>
      </w:pPr>
      <w:r w:rsidRPr="00CF50F6">
        <w:t xml:space="preserve">Approfondimenti sull'impiego dell'LRB 23: </w:t>
      </w:r>
      <w:hyperlink r:id="rId11" w:history="1">
        <w:r w:rsidRPr="00CF50F6">
          <w:rPr>
            <w:rStyle w:val="Hyperlink"/>
          </w:rPr>
          <w:t xml:space="preserve">Liebherr - The </w:t>
        </w:r>
        <w:proofErr w:type="spellStart"/>
        <w:r w:rsidRPr="00CF50F6">
          <w:rPr>
            <w:rStyle w:val="Hyperlink"/>
          </w:rPr>
          <w:t>all-rounder</w:t>
        </w:r>
        <w:proofErr w:type="spellEnd"/>
        <w:r w:rsidRPr="00CF50F6">
          <w:rPr>
            <w:rStyle w:val="Hyperlink"/>
          </w:rPr>
          <w:t>: LRB 23 - YouTube</w:t>
        </w:r>
      </w:hyperlink>
    </w:p>
    <w:p w14:paraId="62450F59" w14:textId="455D5E60" w:rsidR="009A3D17" w:rsidRPr="00CF50F6" w:rsidRDefault="00F12ED0" w:rsidP="009A3D17">
      <w:pPr>
        <w:pStyle w:val="Copyhead11Pt"/>
      </w:pPr>
      <w:r w:rsidRPr="00CF50F6">
        <w:t>Immagine</w:t>
      </w:r>
    </w:p>
    <w:p w14:paraId="27AED0B4" w14:textId="475FA099" w:rsidR="00B01C41" w:rsidRPr="00CF50F6" w:rsidRDefault="00FF317F" w:rsidP="00A14796">
      <w:pPr>
        <w:pStyle w:val="Caption9Pt"/>
        <w:rPr>
          <w:noProof/>
        </w:rPr>
      </w:pPr>
      <w:r w:rsidRPr="00CF50F6">
        <w:rPr>
          <w:noProof/>
          <w:lang w:val="de-DE"/>
        </w:rPr>
        <w:drawing>
          <wp:anchor distT="0" distB="0" distL="114300" distR="114300" simplePos="0" relativeHeight="251659264" behindDoc="1" locked="0" layoutInCell="1" allowOverlap="1" wp14:anchorId="709F829D" wp14:editId="5F8B2ABA">
            <wp:simplePos x="0" y="0"/>
            <wp:positionH relativeFrom="margin">
              <wp:align>left</wp:align>
            </wp:positionH>
            <wp:positionV relativeFrom="paragraph">
              <wp:posOffset>6985</wp:posOffset>
            </wp:positionV>
            <wp:extent cx="2680335" cy="1832610"/>
            <wp:effectExtent l="0" t="0" r="571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80855" cy="1832956"/>
                    </a:xfrm>
                    <a:prstGeom prst="rect">
                      <a:avLst/>
                    </a:prstGeom>
                  </pic:spPr>
                </pic:pic>
              </a:graphicData>
            </a:graphic>
            <wp14:sizeRelH relativeFrom="margin">
              <wp14:pctWidth>0</wp14:pctWidth>
            </wp14:sizeRelH>
            <wp14:sizeRelV relativeFrom="margin">
              <wp14:pctHeight>0</wp14:pctHeight>
            </wp14:sizeRelV>
          </wp:anchor>
        </w:drawing>
      </w:r>
      <w:r w:rsidR="004E78B8" w:rsidRPr="00CF50F6">
        <w:t>liebherr-lrb23.jpg</w:t>
      </w:r>
      <w:r w:rsidR="004E78B8" w:rsidRPr="00CF50F6">
        <w:br/>
        <w:t>L'impianto di palificazione e trivellazione compatto di Liebherr: LRB 23</w:t>
      </w:r>
    </w:p>
    <w:p w14:paraId="1512715B" w14:textId="0EF0B400" w:rsidR="00C72A22" w:rsidRPr="00CF50F6" w:rsidRDefault="00C72A22" w:rsidP="00B1146E">
      <w:pPr>
        <w:pStyle w:val="Copyhead11Pt"/>
        <w:spacing w:before="240"/>
      </w:pPr>
      <w:r w:rsidRPr="00CF50F6">
        <w:t>Contatto</w:t>
      </w:r>
    </w:p>
    <w:p w14:paraId="5D469545" w14:textId="7BBDED49" w:rsidR="00C745AD" w:rsidRPr="00CF50F6" w:rsidRDefault="00C72A22" w:rsidP="00C72A22">
      <w:pPr>
        <w:pStyle w:val="Copytext11Pt"/>
        <w:rPr>
          <w:rFonts w:eastAsiaTheme="minorHAnsi"/>
        </w:rPr>
      </w:pPr>
      <w:r w:rsidRPr="00CF50F6">
        <w:t>Gregor Grießer</w:t>
      </w:r>
      <w:r w:rsidRPr="00CF50F6">
        <w:br/>
      </w:r>
      <w:r w:rsidR="002D4434" w:rsidRPr="00CF50F6">
        <w:t>Marketing strategico e comunicazione</w:t>
      </w:r>
      <w:r w:rsidRPr="00CF50F6">
        <w:br/>
        <w:t xml:space="preserve">E-Mail: </w:t>
      </w:r>
      <w:hyperlink r:id="rId13" w:history="1">
        <w:r w:rsidRPr="00CF50F6">
          <w:rPr>
            <w:rStyle w:val="Hyperlink"/>
            <w:rFonts w:eastAsiaTheme="minorHAnsi"/>
          </w:rPr>
          <w:t>gregor.griesser@liebherr.com</w:t>
        </w:r>
      </w:hyperlink>
    </w:p>
    <w:p w14:paraId="781644B1" w14:textId="0665ADDB" w:rsidR="00C72A22" w:rsidRPr="00CF50F6" w:rsidRDefault="00C72A22" w:rsidP="00C72A22">
      <w:pPr>
        <w:pStyle w:val="Copytext11Pt"/>
        <w:rPr>
          <w:rFonts w:eastAsiaTheme="minorHAnsi"/>
        </w:rPr>
      </w:pPr>
      <w:r w:rsidRPr="00CF50F6">
        <w:t>Wolfgang Pfister</w:t>
      </w:r>
      <w:r w:rsidRPr="00CF50F6">
        <w:br/>
      </w:r>
      <w:r w:rsidR="002D4434" w:rsidRPr="00CF50F6">
        <w:t>Responsabile marketing strategico e comunicazione</w:t>
      </w:r>
      <w:r w:rsidRPr="00CF50F6">
        <w:br/>
        <w:t>Tel.: +43 50809 41444</w:t>
      </w:r>
      <w:r w:rsidRPr="00CF50F6">
        <w:br/>
        <w:t xml:space="preserve">E-Mail: </w:t>
      </w:r>
      <w:hyperlink r:id="rId14" w:history="1">
        <w:r w:rsidRPr="00CF50F6">
          <w:rPr>
            <w:rStyle w:val="Hyperlink"/>
            <w:rFonts w:eastAsiaTheme="minorHAnsi"/>
          </w:rPr>
          <w:t>wolfgang.pfister@liebherr.com</w:t>
        </w:r>
      </w:hyperlink>
    </w:p>
    <w:p w14:paraId="49043B95" w14:textId="77777777" w:rsidR="00C72A22" w:rsidRPr="00CF50F6" w:rsidRDefault="00C72A22" w:rsidP="00C72A22">
      <w:pPr>
        <w:pStyle w:val="Copyhead11Pt"/>
      </w:pPr>
      <w:r w:rsidRPr="00CF50F6">
        <w:t>Pubblicato da</w:t>
      </w:r>
    </w:p>
    <w:p w14:paraId="426EA0CA" w14:textId="6625852F" w:rsidR="00C72A22" w:rsidRPr="00CF50F6" w:rsidRDefault="00C72A22" w:rsidP="00C72A22">
      <w:pPr>
        <w:pStyle w:val="Copytext11Pt"/>
        <w:rPr>
          <w:rFonts w:eastAsiaTheme="minorHAnsi"/>
        </w:rPr>
      </w:pPr>
      <w:r w:rsidRPr="00CF50F6">
        <w:t>Liebherr-</w:t>
      </w:r>
      <w:proofErr w:type="spellStart"/>
      <w:r w:rsidRPr="00CF50F6">
        <w:t>Werk</w:t>
      </w:r>
      <w:proofErr w:type="spellEnd"/>
      <w:r w:rsidRPr="00CF50F6">
        <w:t xml:space="preserve"> </w:t>
      </w:r>
      <w:proofErr w:type="spellStart"/>
      <w:r w:rsidRPr="00CF50F6">
        <w:t>Nenzing</w:t>
      </w:r>
      <w:proofErr w:type="spellEnd"/>
      <w:r w:rsidRPr="00CF50F6">
        <w:t xml:space="preserve"> </w:t>
      </w:r>
      <w:proofErr w:type="spellStart"/>
      <w:r w:rsidRPr="00CF50F6">
        <w:t>GmbH</w:t>
      </w:r>
      <w:proofErr w:type="spellEnd"/>
      <w:r w:rsidRPr="00CF50F6">
        <w:br/>
      </w:r>
      <w:proofErr w:type="spellStart"/>
      <w:r w:rsidRPr="00CF50F6">
        <w:t>Nenzing</w:t>
      </w:r>
      <w:proofErr w:type="spellEnd"/>
      <w:r w:rsidRPr="00CF50F6">
        <w:t xml:space="preserve"> / </w:t>
      </w:r>
      <w:proofErr w:type="spellStart"/>
      <w:r w:rsidRPr="00CF50F6">
        <w:t>Österreich</w:t>
      </w:r>
      <w:proofErr w:type="spellEnd"/>
      <w:r w:rsidRPr="00CF50F6">
        <w:br/>
      </w:r>
      <w:hyperlink r:id="rId15" w:history="1">
        <w:r w:rsidRPr="00CF50F6">
          <w:rPr>
            <w:rStyle w:val="Hyperlink"/>
            <w:rFonts w:eastAsiaTheme="minorHAnsi"/>
          </w:rPr>
          <w:t>www.liebherr.com</w:t>
        </w:r>
      </w:hyperlink>
    </w:p>
    <w:sectPr w:rsidR="00C72A22" w:rsidRPr="00CF50F6"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A3DC3" w14:textId="77777777" w:rsidR="000701B1" w:rsidRDefault="000701B1" w:rsidP="00B81ED6">
      <w:pPr>
        <w:spacing w:after="0" w:line="240" w:lineRule="auto"/>
      </w:pPr>
      <w:r>
        <w:separator/>
      </w:r>
    </w:p>
  </w:endnote>
  <w:endnote w:type="continuationSeparator" w:id="0">
    <w:p w14:paraId="59566CB6" w14:textId="77777777" w:rsidR="000701B1" w:rsidRDefault="000701B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2940CB71" w:rsidR="00B73261" w:rsidRPr="00E847CC" w:rsidRDefault="00B73261"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13F73">
      <w:rPr>
        <w:rFonts w:ascii="Arial" w:hAnsi="Arial" w:cs="Arial"/>
        <w:noProof/>
      </w:rPr>
      <w:instrText>2</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13F73">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13F73">
      <w:rPr>
        <w:rFonts w:ascii="Arial" w:hAnsi="Arial" w:cs="Arial"/>
        <w:noProof/>
      </w:rPr>
      <w:instrText>2</w:instrText>
    </w:r>
    <w:r w:rsidRPr="0093605C">
      <w:rPr>
        <w:rFonts w:ascii="Arial" w:hAnsi="Arial" w:cs="Arial"/>
        <w:noProof/>
      </w:rPr>
      <w:fldChar w:fldCharType="end"/>
    </w:r>
    <w:r>
      <w:rPr>
        <w:rFonts w:ascii="Arial" w:hAnsi="Arial" w:cs="Arial"/>
      </w:rPr>
      <w:instrText xml:space="preserve">" "" </w:instrText>
    </w:r>
    <w:r w:rsidR="00413F73">
      <w:rPr>
        <w:rFonts w:ascii="Arial" w:hAnsi="Arial" w:cs="Arial"/>
      </w:rPr>
      <w:fldChar w:fldCharType="separate"/>
    </w:r>
    <w:r w:rsidR="00413F73">
      <w:rPr>
        <w:rFonts w:ascii="Arial" w:hAnsi="Arial" w:cs="Arial"/>
        <w:noProof/>
      </w:rPr>
      <w:t>1/2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913DC" w14:textId="77777777" w:rsidR="000701B1" w:rsidRDefault="000701B1" w:rsidP="00B81ED6">
      <w:pPr>
        <w:spacing w:after="0" w:line="240" w:lineRule="auto"/>
      </w:pPr>
      <w:r>
        <w:separator/>
      </w:r>
    </w:p>
  </w:footnote>
  <w:footnote w:type="continuationSeparator" w:id="0">
    <w:p w14:paraId="5ED774BC" w14:textId="77777777" w:rsidR="000701B1" w:rsidRDefault="000701B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B73261" w:rsidRDefault="00B73261">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B73261" w:rsidRDefault="00B732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1"/>
  </w:num>
  <w:num w:numId="5">
    <w:abstractNumId w:val="2"/>
  </w:num>
  <w:num w:numId="6">
    <w:abstractNumId w:val="4"/>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56D"/>
    <w:rsid w:val="00006285"/>
    <w:rsid w:val="00020048"/>
    <w:rsid w:val="00022BA5"/>
    <w:rsid w:val="00031D42"/>
    <w:rsid w:val="00033002"/>
    <w:rsid w:val="000561FF"/>
    <w:rsid w:val="00066E54"/>
    <w:rsid w:val="000679F1"/>
    <w:rsid w:val="000701B1"/>
    <w:rsid w:val="00093327"/>
    <w:rsid w:val="000B51B2"/>
    <w:rsid w:val="000C36B3"/>
    <w:rsid w:val="000D2AF8"/>
    <w:rsid w:val="000E0C44"/>
    <w:rsid w:val="000E3C3F"/>
    <w:rsid w:val="00115A21"/>
    <w:rsid w:val="001407EB"/>
    <w:rsid w:val="001417BD"/>
    <w:rsid w:val="001419B4"/>
    <w:rsid w:val="00145DB7"/>
    <w:rsid w:val="00151E5F"/>
    <w:rsid w:val="001525AC"/>
    <w:rsid w:val="0016387A"/>
    <w:rsid w:val="0018492E"/>
    <w:rsid w:val="00194363"/>
    <w:rsid w:val="00194838"/>
    <w:rsid w:val="001A1AD7"/>
    <w:rsid w:val="001C7166"/>
    <w:rsid w:val="001D1A54"/>
    <w:rsid w:val="001E3C88"/>
    <w:rsid w:val="001E7BA8"/>
    <w:rsid w:val="00216361"/>
    <w:rsid w:val="00243023"/>
    <w:rsid w:val="00265008"/>
    <w:rsid w:val="00267AA0"/>
    <w:rsid w:val="002807FF"/>
    <w:rsid w:val="002A6DDF"/>
    <w:rsid w:val="002C20CD"/>
    <w:rsid w:val="002C3350"/>
    <w:rsid w:val="002D4434"/>
    <w:rsid w:val="003075D2"/>
    <w:rsid w:val="00327624"/>
    <w:rsid w:val="0034087B"/>
    <w:rsid w:val="0034306A"/>
    <w:rsid w:val="00343663"/>
    <w:rsid w:val="003524D2"/>
    <w:rsid w:val="00357B99"/>
    <w:rsid w:val="0036277F"/>
    <w:rsid w:val="003775F4"/>
    <w:rsid w:val="003936A6"/>
    <w:rsid w:val="003A0D04"/>
    <w:rsid w:val="003A10B6"/>
    <w:rsid w:val="003A67EB"/>
    <w:rsid w:val="003C13D5"/>
    <w:rsid w:val="003C57A1"/>
    <w:rsid w:val="003C77AC"/>
    <w:rsid w:val="003F3B20"/>
    <w:rsid w:val="003F5696"/>
    <w:rsid w:val="004019CA"/>
    <w:rsid w:val="00413F73"/>
    <w:rsid w:val="00414C05"/>
    <w:rsid w:val="0041731C"/>
    <w:rsid w:val="0042670F"/>
    <w:rsid w:val="0043353C"/>
    <w:rsid w:val="004416FA"/>
    <w:rsid w:val="0044771D"/>
    <w:rsid w:val="00447FD2"/>
    <w:rsid w:val="0045517B"/>
    <w:rsid w:val="0045594D"/>
    <w:rsid w:val="00470AEB"/>
    <w:rsid w:val="004C409A"/>
    <w:rsid w:val="004D34F9"/>
    <w:rsid w:val="004E1CD9"/>
    <w:rsid w:val="004E78B8"/>
    <w:rsid w:val="0051200C"/>
    <w:rsid w:val="005120FA"/>
    <w:rsid w:val="005315C1"/>
    <w:rsid w:val="00533F90"/>
    <w:rsid w:val="00541DE0"/>
    <w:rsid w:val="0054263E"/>
    <w:rsid w:val="00556698"/>
    <w:rsid w:val="00570359"/>
    <w:rsid w:val="005834C5"/>
    <w:rsid w:val="005A1161"/>
    <w:rsid w:val="005B0E53"/>
    <w:rsid w:val="005C09F2"/>
    <w:rsid w:val="005D11AF"/>
    <w:rsid w:val="005D7CC7"/>
    <w:rsid w:val="006041A9"/>
    <w:rsid w:val="00604275"/>
    <w:rsid w:val="00646401"/>
    <w:rsid w:val="00646613"/>
    <w:rsid w:val="00652E53"/>
    <w:rsid w:val="00660681"/>
    <w:rsid w:val="0067057C"/>
    <w:rsid w:val="0067475D"/>
    <w:rsid w:val="0067475E"/>
    <w:rsid w:val="00687869"/>
    <w:rsid w:val="00694375"/>
    <w:rsid w:val="006A2EE8"/>
    <w:rsid w:val="006C6279"/>
    <w:rsid w:val="006D5C45"/>
    <w:rsid w:val="006E437F"/>
    <w:rsid w:val="006F0C09"/>
    <w:rsid w:val="006F111E"/>
    <w:rsid w:val="006F5C32"/>
    <w:rsid w:val="007075CC"/>
    <w:rsid w:val="00727493"/>
    <w:rsid w:val="00730680"/>
    <w:rsid w:val="00747169"/>
    <w:rsid w:val="0076049D"/>
    <w:rsid w:val="00761197"/>
    <w:rsid w:val="00761E5B"/>
    <w:rsid w:val="007B6399"/>
    <w:rsid w:val="007C2DD9"/>
    <w:rsid w:val="007C57F5"/>
    <w:rsid w:val="007D00EE"/>
    <w:rsid w:val="007E0EC2"/>
    <w:rsid w:val="007E4B89"/>
    <w:rsid w:val="007F2586"/>
    <w:rsid w:val="007F6E46"/>
    <w:rsid w:val="00816B07"/>
    <w:rsid w:val="00824226"/>
    <w:rsid w:val="00833F34"/>
    <w:rsid w:val="0083598C"/>
    <w:rsid w:val="00857567"/>
    <w:rsid w:val="00874EED"/>
    <w:rsid w:val="00895F14"/>
    <w:rsid w:val="00896DDA"/>
    <w:rsid w:val="008C4E2D"/>
    <w:rsid w:val="008E58DB"/>
    <w:rsid w:val="008F4707"/>
    <w:rsid w:val="0091394D"/>
    <w:rsid w:val="009169F9"/>
    <w:rsid w:val="0092336D"/>
    <w:rsid w:val="0093605C"/>
    <w:rsid w:val="009370A7"/>
    <w:rsid w:val="00940E4C"/>
    <w:rsid w:val="0094328C"/>
    <w:rsid w:val="00943F07"/>
    <w:rsid w:val="00952C02"/>
    <w:rsid w:val="00955F4D"/>
    <w:rsid w:val="0096004B"/>
    <w:rsid w:val="00960F81"/>
    <w:rsid w:val="00965077"/>
    <w:rsid w:val="009876DB"/>
    <w:rsid w:val="009A3D17"/>
    <w:rsid w:val="009B6F42"/>
    <w:rsid w:val="009E1B25"/>
    <w:rsid w:val="009E566B"/>
    <w:rsid w:val="00A05633"/>
    <w:rsid w:val="00A14796"/>
    <w:rsid w:val="00A14A29"/>
    <w:rsid w:val="00A261BF"/>
    <w:rsid w:val="00A31271"/>
    <w:rsid w:val="00A467D3"/>
    <w:rsid w:val="00A4709C"/>
    <w:rsid w:val="00A471CE"/>
    <w:rsid w:val="00A55B01"/>
    <w:rsid w:val="00A652D0"/>
    <w:rsid w:val="00A75FB3"/>
    <w:rsid w:val="00A829F8"/>
    <w:rsid w:val="00A90559"/>
    <w:rsid w:val="00A969DA"/>
    <w:rsid w:val="00AB0400"/>
    <w:rsid w:val="00AC2129"/>
    <w:rsid w:val="00AD07C7"/>
    <w:rsid w:val="00AF1F99"/>
    <w:rsid w:val="00B01C41"/>
    <w:rsid w:val="00B03211"/>
    <w:rsid w:val="00B1146E"/>
    <w:rsid w:val="00B21E19"/>
    <w:rsid w:val="00B322A9"/>
    <w:rsid w:val="00B3461F"/>
    <w:rsid w:val="00B53B3F"/>
    <w:rsid w:val="00B66971"/>
    <w:rsid w:val="00B70D14"/>
    <w:rsid w:val="00B73261"/>
    <w:rsid w:val="00B733D7"/>
    <w:rsid w:val="00B81ED6"/>
    <w:rsid w:val="00BA49CA"/>
    <w:rsid w:val="00BB0BFF"/>
    <w:rsid w:val="00BC7084"/>
    <w:rsid w:val="00BD33E5"/>
    <w:rsid w:val="00BD7045"/>
    <w:rsid w:val="00BF7E1F"/>
    <w:rsid w:val="00C020F6"/>
    <w:rsid w:val="00C464EC"/>
    <w:rsid w:val="00C6384A"/>
    <w:rsid w:val="00C70C73"/>
    <w:rsid w:val="00C72A22"/>
    <w:rsid w:val="00C745AD"/>
    <w:rsid w:val="00C77574"/>
    <w:rsid w:val="00C77F45"/>
    <w:rsid w:val="00C87254"/>
    <w:rsid w:val="00CA10C3"/>
    <w:rsid w:val="00CA57D2"/>
    <w:rsid w:val="00CB4B35"/>
    <w:rsid w:val="00CB72E6"/>
    <w:rsid w:val="00CC2E2B"/>
    <w:rsid w:val="00CC53CD"/>
    <w:rsid w:val="00CD300D"/>
    <w:rsid w:val="00CE5ABC"/>
    <w:rsid w:val="00CF50F6"/>
    <w:rsid w:val="00D20A3C"/>
    <w:rsid w:val="00D37EAF"/>
    <w:rsid w:val="00D40432"/>
    <w:rsid w:val="00D63B50"/>
    <w:rsid w:val="00D74E0A"/>
    <w:rsid w:val="00DA1C4F"/>
    <w:rsid w:val="00DC32DC"/>
    <w:rsid w:val="00DC50C0"/>
    <w:rsid w:val="00DD5AF8"/>
    <w:rsid w:val="00DF28A8"/>
    <w:rsid w:val="00DF40C0"/>
    <w:rsid w:val="00DF4555"/>
    <w:rsid w:val="00E10FAE"/>
    <w:rsid w:val="00E133E3"/>
    <w:rsid w:val="00E21B1D"/>
    <w:rsid w:val="00E23815"/>
    <w:rsid w:val="00E24356"/>
    <w:rsid w:val="00E25FDE"/>
    <w:rsid w:val="00E260E6"/>
    <w:rsid w:val="00E31B61"/>
    <w:rsid w:val="00E32363"/>
    <w:rsid w:val="00E345D7"/>
    <w:rsid w:val="00E43724"/>
    <w:rsid w:val="00E51220"/>
    <w:rsid w:val="00E53958"/>
    <w:rsid w:val="00E70CE0"/>
    <w:rsid w:val="00E7611E"/>
    <w:rsid w:val="00E80805"/>
    <w:rsid w:val="00E82A2A"/>
    <w:rsid w:val="00E847CC"/>
    <w:rsid w:val="00EA09C1"/>
    <w:rsid w:val="00EA26F3"/>
    <w:rsid w:val="00EA45D8"/>
    <w:rsid w:val="00EA51ED"/>
    <w:rsid w:val="00EA75E4"/>
    <w:rsid w:val="00EB7A1A"/>
    <w:rsid w:val="00ED0E4D"/>
    <w:rsid w:val="00EE1549"/>
    <w:rsid w:val="00F00AE1"/>
    <w:rsid w:val="00F03411"/>
    <w:rsid w:val="00F12ED0"/>
    <w:rsid w:val="00F2432D"/>
    <w:rsid w:val="00F410FA"/>
    <w:rsid w:val="00F57FA6"/>
    <w:rsid w:val="00F60569"/>
    <w:rsid w:val="00F707D0"/>
    <w:rsid w:val="00F715EA"/>
    <w:rsid w:val="00FB282F"/>
    <w:rsid w:val="00FB383C"/>
    <w:rsid w:val="00FB50A9"/>
    <w:rsid w:val="00FC145A"/>
    <w:rsid w:val="00FC266A"/>
    <w:rsid w:val="00FD4EF6"/>
    <w:rsid w:val="00FF3136"/>
    <w:rsid w:val="00FF31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CA9D8A"/>
  <w15:chartTrackingRefBased/>
  <w15:docId w15:val="{600DFF39-AD0D-49BF-8938-674C7DA9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it-IT"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it-I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it-I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it-I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it-IT" w:eastAsia="de-DE"/>
    </w:rPr>
  </w:style>
  <w:style w:type="character" w:customStyle="1" w:styleId="Teaser11PtZchn">
    <w:name w:val="Teaser 11Pt Zchn"/>
    <w:basedOn w:val="Absatz-Standardschriftart"/>
    <w:link w:val="Teaser11Pt"/>
    <w:rsid w:val="00B81ED6"/>
    <w:rPr>
      <w:rFonts w:ascii="Arial" w:hAnsi="Arial"/>
      <w:b/>
      <w:noProof/>
      <w:lang w:val="it-IT"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it-I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it-I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it-I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it-IT"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semiHidden/>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customStyle="1" w:styleId="LHbase-type11ptregular">
    <w:name w:val="LH_base-type 11pt regular"/>
    <w:qFormat/>
    <w:rsid w:val="00EB7A1A"/>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Press5-Body">
    <w:name w:val="Press 5 - Body"/>
    <w:basedOn w:val="Standard"/>
    <w:autoRedefine/>
    <w:qFormat/>
    <w:rsid w:val="00EB7A1A"/>
    <w:pPr>
      <w:suppressAutoHyphens/>
      <w:spacing w:after="360" w:line="360" w:lineRule="auto"/>
    </w:pPr>
    <w:rPr>
      <w:rFonts w:ascii="Arial" w:eastAsia="Times New Roman" w:hAnsi="Arial" w:cs="Times New Roman"/>
      <w:color w:val="000000"/>
      <w:szCs w:val="24"/>
      <w:lang w:eastAsia="de-DE"/>
    </w:rPr>
  </w:style>
  <w:style w:type="paragraph" w:styleId="Sprechblasentext">
    <w:name w:val="Balloon Text"/>
    <w:basedOn w:val="Standard"/>
    <w:link w:val="SprechblasentextZchn"/>
    <w:uiPriority w:val="99"/>
    <w:semiHidden/>
    <w:unhideWhenUsed/>
    <w:rsid w:val="007306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gor.griesser@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stTSbdbeNos&amp;t=57s" TargetMode="External"/><Relationship Id="rId5" Type="http://schemas.openxmlformats.org/officeDocument/2006/relationships/numbering" Target="numbering.xml"/><Relationship Id="rId15" Type="http://schemas.openxmlformats.org/officeDocument/2006/relationships/hyperlink" Target="http://www.liebher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olfgang.pfist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7A516D97-0BC9-4FA0-B95E-C388C6247712}">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F82B5313-0A76-4D60-BD56-2F68BFF63D49}">
  <ds:schemaRef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FE5EF7-0489-4ED1-B442-18D141BFD012}">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2022-10-13T08:35:00Z</cp:lastPrinted>
  <dcterms:created xsi:type="dcterms:W3CDTF">2022-10-13T08:34:00Z</dcterms:created>
  <dcterms:modified xsi:type="dcterms:W3CDTF">2022-10-13T08:35:00Z</dcterms:modified>
  <cp:category>Presseinformation</cp:category>
</cp:coreProperties>
</file>