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F43647" w:rsidRDefault="00E847CC" w:rsidP="00E847CC">
      <w:pPr>
        <w:pStyle w:val="Topline16Pt"/>
      </w:pPr>
      <w:r w:rsidRPr="00F43647">
        <w:t>Nota de prensa</w:t>
      </w:r>
    </w:p>
    <w:p w14:paraId="2D95C493" w14:textId="621DAA76" w:rsidR="00E847CC" w:rsidRPr="00F43647" w:rsidRDefault="00E80805" w:rsidP="00E847CC">
      <w:pPr>
        <w:pStyle w:val="HeadlineH233Pt"/>
        <w:spacing w:line="240" w:lineRule="auto"/>
        <w:rPr>
          <w:rFonts w:cs="Arial"/>
          <w:szCs w:val="66"/>
        </w:rPr>
      </w:pPr>
      <w:r w:rsidRPr="00F43647">
        <w:rPr>
          <w:rFonts w:cs="Arial"/>
        </w:rPr>
        <w:t xml:space="preserve">La LRB 23 </w:t>
      </w:r>
      <w:r w:rsidR="00177AE0" w:rsidRPr="00F43647">
        <w:rPr>
          <w:rFonts w:cs="Arial"/>
        </w:rPr>
        <w:t xml:space="preserve">continúa </w:t>
      </w:r>
      <w:r w:rsidRPr="00F43647">
        <w:rPr>
          <w:rFonts w:cs="Arial"/>
        </w:rPr>
        <w:t xml:space="preserve">la historia de éxito de las </w:t>
      </w:r>
      <w:r w:rsidRPr="00F43647">
        <w:t xml:space="preserve">máquinas de hinca y perforación </w:t>
      </w:r>
      <w:r w:rsidR="00815C6A">
        <w:rPr>
          <w:rFonts w:cs="Arial"/>
        </w:rPr>
        <w:t>de Liebherr</w:t>
      </w:r>
    </w:p>
    <w:p w14:paraId="4EAE8E32" w14:textId="293FB771" w:rsidR="001407EB" w:rsidRPr="00F43647" w:rsidRDefault="00B81ED6" w:rsidP="001407EB">
      <w:pPr>
        <w:pStyle w:val="HeadlineH233Pt"/>
        <w:spacing w:before="240" w:after="240" w:line="140" w:lineRule="exact"/>
        <w:rPr>
          <w:rFonts w:ascii="Tahoma" w:hAnsi="Tahoma" w:cs="Tahoma"/>
        </w:rPr>
      </w:pPr>
      <w:r w:rsidRPr="00F43647">
        <w:rPr>
          <w:rFonts w:ascii="Tahoma" w:hAnsi="Tahoma" w:cs="Tahoma"/>
        </w:rPr>
        <w:t>⸺</w:t>
      </w:r>
    </w:p>
    <w:p w14:paraId="284EFF33" w14:textId="48250D6D" w:rsidR="00CD300D" w:rsidRPr="00F43647" w:rsidRDefault="00265008" w:rsidP="001407EB">
      <w:pPr>
        <w:pStyle w:val="Bulletpoints11Pt"/>
        <w:numPr>
          <w:ilvl w:val="0"/>
          <w:numId w:val="7"/>
        </w:numPr>
        <w:ind w:left="284" w:hanging="284"/>
      </w:pPr>
      <w:r w:rsidRPr="00F43647">
        <w:t>Mayor eficiencia gracias al potente motor de 600 kW</w:t>
      </w:r>
    </w:p>
    <w:p w14:paraId="4361156E" w14:textId="5AEA4E4F" w:rsidR="00EB7A1A" w:rsidRPr="00F43647" w:rsidRDefault="00730680" w:rsidP="001407EB">
      <w:pPr>
        <w:pStyle w:val="Bulletpoints11Pt"/>
        <w:numPr>
          <w:ilvl w:val="0"/>
          <w:numId w:val="7"/>
        </w:numPr>
        <w:ind w:left="284" w:hanging="284"/>
      </w:pPr>
      <w:r w:rsidRPr="00F43647">
        <w:t xml:space="preserve">La perforación con barra </w:t>
      </w:r>
      <w:proofErr w:type="spellStart"/>
      <w:r w:rsidRPr="00F43647">
        <w:t>kelly</w:t>
      </w:r>
      <w:proofErr w:type="spellEnd"/>
      <w:r w:rsidRPr="00F43647">
        <w:t xml:space="preserve"> es única para máquinas de esta categoría</w:t>
      </w:r>
    </w:p>
    <w:p w14:paraId="47F037DF" w14:textId="4367A996" w:rsidR="00694375" w:rsidRPr="00F43647" w:rsidRDefault="00265008" w:rsidP="00C745AD">
      <w:pPr>
        <w:pStyle w:val="Bulletpoints11Pt"/>
        <w:numPr>
          <w:ilvl w:val="0"/>
          <w:numId w:val="7"/>
        </w:numPr>
        <w:ind w:left="284" w:hanging="284"/>
      </w:pPr>
      <w:r w:rsidRPr="00F43647">
        <w:t xml:space="preserve">Nuevos sistemas de asistencia: innovadora visualización de la barra </w:t>
      </w:r>
      <w:proofErr w:type="spellStart"/>
      <w:r w:rsidRPr="00F43647">
        <w:t>kelly</w:t>
      </w:r>
      <w:proofErr w:type="spellEnd"/>
      <w:r w:rsidRPr="00F43647">
        <w:t xml:space="preserve"> y asistente de perforación</w:t>
      </w:r>
    </w:p>
    <w:p w14:paraId="24E6D182" w14:textId="2B6DA6C6" w:rsidR="0091394D" w:rsidRPr="00F43647" w:rsidRDefault="00EB7A1A" w:rsidP="00C745AD">
      <w:pPr>
        <w:pStyle w:val="Teaser11Pt"/>
        <w:rPr>
          <w:b w:val="0"/>
        </w:rPr>
      </w:pPr>
      <w:r w:rsidRPr="00F43647">
        <w:t xml:space="preserve">Con su nueva máquina de hinca y perforación LRB 23, Liebherr </w:t>
      </w:r>
      <w:r w:rsidR="00177AE0" w:rsidRPr="00F43647">
        <w:t xml:space="preserve">reduce </w:t>
      </w:r>
      <w:r w:rsidRPr="00F43647">
        <w:t xml:space="preserve">la brecha entre el modelo LRB 16 y la </w:t>
      </w:r>
      <w:r w:rsidR="00177AE0" w:rsidRPr="00F43647">
        <w:t xml:space="preserve">probada </w:t>
      </w:r>
      <w:r w:rsidRPr="00F43647">
        <w:t xml:space="preserve">LRB 355. Su tamaño compacto la convierte en la máquina perfecta para todo tipo de obras civiles especiales. Sus novedosos sistemas de asistencia facilitan su uso en obras de construcción y ofrecen un nivel </w:t>
      </w:r>
      <w:bookmarkStart w:id="0" w:name="_GoBack"/>
      <w:bookmarkEnd w:id="0"/>
      <w:r w:rsidRPr="00F43647">
        <w:t>de seguridad incomparable.</w:t>
      </w:r>
    </w:p>
    <w:p w14:paraId="5F033CC1" w14:textId="6A97741E" w:rsidR="00EB7A1A" w:rsidRPr="00F43647" w:rsidRDefault="00CC2E2B" w:rsidP="00EB7A1A">
      <w:pPr>
        <w:pStyle w:val="Copytext11Pt"/>
      </w:pPr>
      <w:r w:rsidRPr="00F43647">
        <w:t>Múnich (Alemania</w:t>
      </w:r>
      <w:r w:rsidR="00815C6A">
        <w:t xml:space="preserve">), 24 de octubre de 2022 - </w:t>
      </w:r>
      <w:r w:rsidRPr="00F43647">
        <w:t xml:space="preserve">La nueva todoterreno para obras civiles especiales incluye un imponente motor de 600 kW. Gracias a ello, posee la capacidad necesaria para todas las aplicaciones especiales más comunes en obras de ingeniería civil, como la perforación con barra </w:t>
      </w:r>
      <w:proofErr w:type="spellStart"/>
      <w:r w:rsidRPr="00F43647">
        <w:t>kelly</w:t>
      </w:r>
      <w:proofErr w:type="spellEnd"/>
      <w:r w:rsidRPr="00F43647">
        <w:t>, con doble cabezal, con herramienta de desplazamiento completo y con barrena continua, así como para el mezclado del suelo y para aplicaciones con vibrador y martillo hidráulico.</w:t>
      </w:r>
    </w:p>
    <w:p w14:paraId="1A3E9254" w14:textId="1ADD26E0" w:rsidR="00EB7A1A" w:rsidRPr="00F43647" w:rsidRDefault="00EB7A1A" w:rsidP="00EB7A1A">
      <w:pPr>
        <w:pStyle w:val="Copytext11Pt"/>
      </w:pPr>
      <w:r w:rsidRPr="00F43647">
        <w:t>Su diseño compacto permite transportar la LRB 23 en una sola pieza, por lo que puede trasladarse sin problemas de una obra a otra para múltiples aplicaciones. El control remoto por radio facilita el proceso de carga durante el transporte y el montaje de la máquina.</w:t>
      </w:r>
    </w:p>
    <w:p w14:paraId="6D806EAA" w14:textId="027CF189" w:rsidR="00EB7A1A" w:rsidRPr="00F43647" w:rsidRDefault="00EB7A1A" w:rsidP="00EB7A1A">
      <w:pPr>
        <w:pStyle w:val="Copytext11Pt"/>
      </w:pPr>
      <w:r w:rsidRPr="00F43647">
        <w:t xml:space="preserve">Su mástil rígido demuestra todo su potencial en cualquier aplicación. Al soportar elevados pares de apriete, es posible incluso la perforación con barra </w:t>
      </w:r>
      <w:proofErr w:type="spellStart"/>
      <w:r w:rsidRPr="00F43647">
        <w:t>kelly</w:t>
      </w:r>
      <w:proofErr w:type="spellEnd"/>
      <w:r w:rsidRPr="00F43647">
        <w:t>, una particularidad única para una herramienta de este tamaño. La unidad de perforación BAT 300 alcanza un par de rotación máximo de 300 </w:t>
      </w:r>
      <w:proofErr w:type="spellStart"/>
      <w:r w:rsidRPr="00F43647">
        <w:t>kNm</w:t>
      </w:r>
      <w:proofErr w:type="spellEnd"/>
      <w:r w:rsidRPr="00F43647">
        <w:t>.</w:t>
      </w:r>
    </w:p>
    <w:p w14:paraId="0FD9D262" w14:textId="1A80D116" w:rsidR="00E80805" w:rsidRPr="00F43647" w:rsidRDefault="00660681" w:rsidP="00E80805">
      <w:pPr>
        <w:pStyle w:val="Copyhead11Pt"/>
      </w:pPr>
      <w:r w:rsidRPr="00F43647">
        <w:t>Seguridad y eficiencia máximas gracias a los sistemas de asistencia digitales</w:t>
      </w:r>
    </w:p>
    <w:p w14:paraId="73225AE7" w14:textId="223BBB96" w:rsidR="00EB7A1A" w:rsidRPr="00F43647" w:rsidRDefault="00EB7A1A" w:rsidP="00EB7A1A">
      <w:pPr>
        <w:pStyle w:val="Copytext11Pt"/>
      </w:pPr>
      <w:r w:rsidRPr="00F43647">
        <w:t xml:space="preserve">La visualización de la barra </w:t>
      </w:r>
      <w:proofErr w:type="spellStart"/>
      <w:r w:rsidRPr="00F43647">
        <w:t>kelly</w:t>
      </w:r>
      <w:proofErr w:type="spellEnd"/>
      <w:r w:rsidRPr="00F43647">
        <w:t xml:space="preserve"> de la LRB 23 facilita enormemente el bloqueo de las secciones telescópicas de la barra </w:t>
      </w:r>
      <w:proofErr w:type="spellStart"/>
      <w:r w:rsidRPr="00F43647">
        <w:t>kelly</w:t>
      </w:r>
      <w:proofErr w:type="spellEnd"/>
      <w:r w:rsidRPr="00F43647">
        <w:t xml:space="preserve">. Gracias a la visualización en tiempo real de las bolsas de bloqueo de la barra </w:t>
      </w:r>
      <w:proofErr w:type="spellStart"/>
      <w:r w:rsidRPr="00F43647">
        <w:t>kelly</w:t>
      </w:r>
      <w:proofErr w:type="spellEnd"/>
      <w:r w:rsidRPr="00F43647">
        <w:t xml:space="preserve"> en el monitor de la cabina, el operador sabe en todo momento la distancia real hasta la siguiente bolsa. La visualización con cambio de color indica cuándo se puede bloquear la barra. Si la barra </w:t>
      </w:r>
      <w:proofErr w:type="spellStart"/>
      <w:r w:rsidRPr="00F43647">
        <w:t>kelly</w:t>
      </w:r>
      <w:proofErr w:type="spellEnd"/>
      <w:r w:rsidRPr="00F43647">
        <w:t xml:space="preserve"> está en una posición incorrecta durante el proceso de </w:t>
      </w:r>
      <w:r w:rsidR="00177AE0" w:rsidRPr="00F43647">
        <w:t>vaciado</w:t>
      </w:r>
      <w:r w:rsidRPr="00F43647">
        <w:t>, se muestra una señal de advertencia.</w:t>
      </w:r>
    </w:p>
    <w:p w14:paraId="08064688" w14:textId="1F74674E" w:rsidR="00EB7A1A" w:rsidRPr="00F43647" w:rsidRDefault="00EB7A1A" w:rsidP="00EB7A1A">
      <w:pPr>
        <w:pStyle w:val="Copytext11Pt"/>
      </w:pPr>
      <w:r w:rsidRPr="00F43647">
        <w:lastRenderedPageBreak/>
        <w:t>El asistente de perforación automatiza el proceso de hormigonado durante la perforación con barrena continua. Todos los sistemas de asistencia permiten ahorrar tiempo, aumentar la disponibilidad de la máquina y mejorar significativamente la seguridad de funcionamiento. La nueva máquina de hinca y perforación convence por su alto nivel de precisión, elevado rendimiento y larga duración.</w:t>
      </w:r>
    </w:p>
    <w:p w14:paraId="74E4261E" w14:textId="5FC32273" w:rsidR="00EB7A1A" w:rsidRPr="00815C6A" w:rsidRDefault="00660681" w:rsidP="00F03411">
      <w:pPr>
        <w:pStyle w:val="Copytext11Pt"/>
        <w:rPr>
          <w:lang w:val="en-US"/>
        </w:rPr>
      </w:pPr>
      <w:r w:rsidRPr="00815C6A">
        <w:rPr>
          <w:lang w:val="en-US"/>
        </w:rPr>
        <w:t xml:space="preserve">La LRB 23 </w:t>
      </w:r>
      <w:proofErr w:type="spellStart"/>
      <w:r w:rsidRPr="00815C6A">
        <w:rPr>
          <w:lang w:val="en-US"/>
        </w:rPr>
        <w:t>en</w:t>
      </w:r>
      <w:proofErr w:type="spellEnd"/>
      <w:r w:rsidRPr="00815C6A">
        <w:rPr>
          <w:lang w:val="en-US"/>
        </w:rPr>
        <w:t xml:space="preserve"> </w:t>
      </w:r>
      <w:proofErr w:type="spellStart"/>
      <w:r w:rsidRPr="00815C6A">
        <w:rPr>
          <w:lang w:val="en-US"/>
        </w:rPr>
        <w:t>acción</w:t>
      </w:r>
      <w:proofErr w:type="spellEnd"/>
      <w:r w:rsidRPr="00815C6A">
        <w:rPr>
          <w:lang w:val="en-US"/>
        </w:rPr>
        <w:t xml:space="preserve">: </w:t>
      </w:r>
      <w:hyperlink r:id="rId11" w:history="1">
        <w:r w:rsidRPr="00815C6A">
          <w:rPr>
            <w:rStyle w:val="Hyperlink"/>
            <w:lang w:val="en-US"/>
          </w:rPr>
          <w:t>Liebherr - The all-rounder: LRB 23 - YouTube</w:t>
        </w:r>
      </w:hyperlink>
    </w:p>
    <w:p w14:paraId="62450F59" w14:textId="2A5718A8" w:rsidR="009A3D17" w:rsidRPr="00F43647" w:rsidRDefault="009A3D17" w:rsidP="009A3D17">
      <w:pPr>
        <w:pStyle w:val="Copyhead11Pt"/>
      </w:pPr>
      <w:r w:rsidRPr="00F43647">
        <w:t>Imágenes</w:t>
      </w:r>
    </w:p>
    <w:p w14:paraId="27AED0B4" w14:textId="44E950BB" w:rsidR="00B01C41" w:rsidRPr="00F43647" w:rsidRDefault="00FF317F" w:rsidP="00815C6A">
      <w:pPr>
        <w:pStyle w:val="Caption9Pt"/>
        <w:rPr>
          <w:noProof/>
        </w:rPr>
      </w:pPr>
      <w:r w:rsidRPr="00F43647">
        <w:rPr>
          <w:noProof/>
          <w:lang w:val="de-DE"/>
        </w:rPr>
        <w:drawing>
          <wp:anchor distT="0" distB="0" distL="114300" distR="114300" simplePos="0" relativeHeight="251659264" behindDoc="1" locked="0" layoutInCell="1" allowOverlap="1" wp14:anchorId="709F829D" wp14:editId="4B7491CE">
            <wp:simplePos x="0" y="0"/>
            <wp:positionH relativeFrom="margin">
              <wp:align>left</wp:align>
            </wp:positionH>
            <wp:positionV relativeFrom="paragraph">
              <wp:posOffset>6985</wp:posOffset>
            </wp:positionV>
            <wp:extent cx="2680335" cy="1832610"/>
            <wp:effectExtent l="0" t="0" r="571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80855" cy="1832956"/>
                    </a:xfrm>
                    <a:prstGeom prst="rect">
                      <a:avLst/>
                    </a:prstGeom>
                  </pic:spPr>
                </pic:pic>
              </a:graphicData>
            </a:graphic>
            <wp14:sizeRelH relativeFrom="margin">
              <wp14:pctWidth>0</wp14:pctWidth>
            </wp14:sizeRelH>
            <wp14:sizeRelV relativeFrom="margin">
              <wp14:pctHeight>0</wp14:pctHeight>
            </wp14:sizeRelV>
          </wp:anchor>
        </w:drawing>
      </w:r>
      <w:r w:rsidR="004E78B8" w:rsidRPr="00F43647">
        <w:t>liebherr-lrb23.jpg</w:t>
      </w:r>
      <w:r w:rsidR="004E78B8" w:rsidRPr="00F43647">
        <w:br/>
        <w:t>La máquina de hinca y perforación compacta de Liebherr: LRB 23</w:t>
      </w:r>
    </w:p>
    <w:p w14:paraId="1512715B" w14:textId="50FD492E" w:rsidR="00C72A22" w:rsidRPr="00F43647" w:rsidRDefault="00C72A22" w:rsidP="00815C6A">
      <w:pPr>
        <w:pStyle w:val="Copyhead11Pt"/>
      </w:pPr>
      <w:r w:rsidRPr="00F43647">
        <w:t>Contacto</w:t>
      </w:r>
    </w:p>
    <w:p w14:paraId="5D469545" w14:textId="4DA238C2" w:rsidR="00C745AD" w:rsidRPr="00F43647" w:rsidRDefault="00C72A22" w:rsidP="00C72A22">
      <w:pPr>
        <w:pStyle w:val="Copytext11Pt"/>
        <w:rPr>
          <w:rFonts w:eastAsiaTheme="minorHAnsi"/>
        </w:rPr>
      </w:pPr>
      <w:r w:rsidRPr="00F43647">
        <w:t xml:space="preserve">Gregor </w:t>
      </w:r>
      <w:proofErr w:type="spellStart"/>
      <w:r w:rsidRPr="00F43647">
        <w:t>Grießer</w:t>
      </w:r>
      <w:proofErr w:type="spellEnd"/>
      <w:r w:rsidRPr="00F43647">
        <w:br/>
      </w:r>
      <w:r w:rsidR="00F43647" w:rsidRPr="00F43647">
        <w:t>Comunicación y marketing estratégico</w:t>
      </w:r>
      <w:r w:rsidR="00F43647" w:rsidRPr="00F43647">
        <w:br/>
        <w:t>Correo electrónico</w:t>
      </w:r>
      <w:r w:rsidRPr="00F43647">
        <w:t xml:space="preserve">: </w:t>
      </w:r>
      <w:hyperlink r:id="rId13" w:history="1">
        <w:r w:rsidRPr="00F43647">
          <w:rPr>
            <w:rStyle w:val="Hyperlink"/>
            <w:rFonts w:eastAsiaTheme="minorHAnsi"/>
          </w:rPr>
          <w:t>gregor.griesser@liebherr.com</w:t>
        </w:r>
      </w:hyperlink>
    </w:p>
    <w:p w14:paraId="781644B1" w14:textId="74997EB1" w:rsidR="00C72A22" w:rsidRPr="00F43647" w:rsidRDefault="00C72A22" w:rsidP="00C72A22">
      <w:pPr>
        <w:pStyle w:val="Copytext11Pt"/>
        <w:rPr>
          <w:rFonts w:eastAsiaTheme="minorHAnsi"/>
        </w:rPr>
      </w:pPr>
      <w:r w:rsidRPr="00F43647">
        <w:t>Wolfgang Pfister</w:t>
      </w:r>
      <w:r w:rsidRPr="00F43647">
        <w:br/>
      </w:r>
      <w:r w:rsidR="00F43647" w:rsidRPr="00F43647">
        <w:t>Jefe de comunicación y marketing estratégico</w:t>
      </w:r>
      <w:r w:rsidRPr="00F43647">
        <w:br/>
        <w:t>Tel.: +43 50809 41444</w:t>
      </w:r>
      <w:r w:rsidRPr="00F43647">
        <w:br/>
      </w:r>
      <w:r w:rsidR="00F43647" w:rsidRPr="00F43647">
        <w:t>Correo electrónico</w:t>
      </w:r>
      <w:r w:rsidRPr="00F43647">
        <w:t xml:space="preserve">: </w:t>
      </w:r>
      <w:hyperlink r:id="rId14" w:history="1">
        <w:r w:rsidRPr="00F43647">
          <w:rPr>
            <w:rStyle w:val="Hyperlink"/>
            <w:rFonts w:eastAsiaTheme="minorHAnsi"/>
          </w:rPr>
          <w:t>wolfgang.pfister@liebherr.com</w:t>
        </w:r>
      </w:hyperlink>
    </w:p>
    <w:p w14:paraId="49043B95" w14:textId="77777777" w:rsidR="00C72A22" w:rsidRPr="00815C6A" w:rsidRDefault="00C72A22" w:rsidP="00C72A22">
      <w:pPr>
        <w:pStyle w:val="Copyhead11Pt"/>
        <w:rPr>
          <w:lang w:val="de-DE"/>
        </w:rPr>
      </w:pPr>
      <w:proofErr w:type="spellStart"/>
      <w:r w:rsidRPr="00815C6A">
        <w:rPr>
          <w:lang w:val="de-DE"/>
        </w:rPr>
        <w:t>Publicado</w:t>
      </w:r>
      <w:proofErr w:type="spellEnd"/>
      <w:r w:rsidRPr="00815C6A">
        <w:rPr>
          <w:lang w:val="de-DE"/>
        </w:rPr>
        <w:t xml:space="preserve"> </w:t>
      </w:r>
      <w:proofErr w:type="spellStart"/>
      <w:r w:rsidRPr="00815C6A">
        <w:rPr>
          <w:lang w:val="de-DE"/>
        </w:rPr>
        <w:t>por</w:t>
      </w:r>
      <w:proofErr w:type="spellEnd"/>
    </w:p>
    <w:p w14:paraId="426EA0CA" w14:textId="6625852F" w:rsidR="00C72A22" w:rsidRPr="00815C6A" w:rsidRDefault="00C72A22" w:rsidP="00C72A22">
      <w:pPr>
        <w:pStyle w:val="Copytext11Pt"/>
        <w:rPr>
          <w:rFonts w:eastAsiaTheme="minorHAnsi"/>
          <w:lang w:val="de-DE"/>
        </w:rPr>
      </w:pPr>
      <w:r w:rsidRPr="00815C6A">
        <w:rPr>
          <w:lang w:val="de-DE"/>
        </w:rPr>
        <w:t xml:space="preserve">Liebherr-Werk </w:t>
      </w:r>
      <w:proofErr w:type="spellStart"/>
      <w:r w:rsidRPr="00815C6A">
        <w:rPr>
          <w:lang w:val="de-DE"/>
        </w:rPr>
        <w:t>Nenzing</w:t>
      </w:r>
      <w:proofErr w:type="spellEnd"/>
      <w:r w:rsidRPr="00815C6A">
        <w:rPr>
          <w:lang w:val="de-DE"/>
        </w:rPr>
        <w:t xml:space="preserve"> GmbH</w:t>
      </w:r>
      <w:r w:rsidRPr="00815C6A">
        <w:rPr>
          <w:lang w:val="de-DE"/>
        </w:rPr>
        <w:br/>
      </w:r>
      <w:proofErr w:type="spellStart"/>
      <w:r w:rsidRPr="00815C6A">
        <w:rPr>
          <w:lang w:val="de-DE"/>
        </w:rPr>
        <w:t>Nenzing</w:t>
      </w:r>
      <w:proofErr w:type="spellEnd"/>
      <w:r w:rsidRPr="00815C6A">
        <w:rPr>
          <w:lang w:val="de-DE"/>
        </w:rPr>
        <w:t xml:space="preserve"> / Österreich</w:t>
      </w:r>
      <w:r w:rsidRPr="00815C6A">
        <w:rPr>
          <w:lang w:val="de-DE"/>
        </w:rPr>
        <w:br/>
      </w:r>
      <w:hyperlink r:id="rId15" w:history="1">
        <w:r w:rsidRPr="00815C6A">
          <w:rPr>
            <w:rStyle w:val="Hyperlink"/>
            <w:rFonts w:eastAsiaTheme="minorHAnsi"/>
            <w:lang w:val="de-DE"/>
          </w:rPr>
          <w:t>www.liebherr.com</w:t>
        </w:r>
      </w:hyperlink>
    </w:p>
    <w:sectPr w:rsidR="00C72A22" w:rsidRPr="00815C6A"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29B37" w14:textId="77777777" w:rsidR="00A55B01" w:rsidRDefault="00A55B01" w:rsidP="00B81ED6">
      <w:pPr>
        <w:spacing w:after="0" w:line="240" w:lineRule="auto"/>
      </w:pPr>
      <w:r>
        <w:separator/>
      </w:r>
    </w:p>
  </w:endnote>
  <w:endnote w:type="continuationSeparator" w:id="0">
    <w:p w14:paraId="52440709" w14:textId="77777777" w:rsidR="00A55B01" w:rsidRDefault="00A55B0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6F6CD103"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808EA">
      <w:rPr>
        <w:rFonts w:ascii="Arial" w:hAnsi="Arial" w:cs="Arial"/>
        <w:noProof/>
      </w:rPr>
      <w:instrText>2</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808EA">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808EA">
      <w:rPr>
        <w:rFonts w:ascii="Arial" w:hAnsi="Arial" w:cs="Arial"/>
        <w:noProof/>
      </w:rPr>
      <w:instrText>2</w:instrText>
    </w:r>
    <w:r w:rsidRPr="0093605C">
      <w:rPr>
        <w:rFonts w:ascii="Arial" w:hAnsi="Arial" w:cs="Arial"/>
        <w:noProof/>
      </w:rPr>
      <w:fldChar w:fldCharType="end"/>
    </w:r>
    <w:r>
      <w:rPr>
        <w:rFonts w:ascii="Arial" w:hAnsi="Arial" w:cs="Arial"/>
      </w:rPr>
      <w:instrText xml:space="preserve">" "" </w:instrText>
    </w:r>
    <w:r w:rsidR="003808EA">
      <w:rPr>
        <w:rFonts w:ascii="Arial" w:hAnsi="Arial" w:cs="Arial"/>
      </w:rPr>
      <w:fldChar w:fldCharType="separate"/>
    </w:r>
    <w:r w:rsidR="003808EA">
      <w:rPr>
        <w:rFonts w:ascii="Arial" w:hAnsi="Arial" w:cs="Arial"/>
        <w:noProof/>
      </w:rPr>
      <w:t>1/2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032EC" w14:textId="77777777" w:rsidR="00A55B01" w:rsidRDefault="00A55B01" w:rsidP="00B81ED6">
      <w:pPr>
        <w:spacing w:after="0" w:line="240" w:lineRule="auto"/>
      </w:pPr>
      <w:r>
        <w:separator/>
      </w:r>
    </w:p>
  </w:footnote>
  <w:footnote w:type="continuationSeparator" w:id="0">
    <w:p w14:paraId="4F2C7D97" w14:textId="77777777" w:rsidR="00A55B01" w:rsidRDefault="00A55B0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22BA5"/>
    <w:rsid w:val="00031D42"/>
    <w:rsid w:val="00033002"/>
    <w:rsid w:val="000561FF"/>
    <w:rsid w:val="00066E54"/>
    <w:rsid w:val="000679F1"/>
    <w:rsid w:val="00093327"/>
    <w:rsid w:val="000B51B2"/>
    <w:rsid w:val="000C36B3"/>
    <w:rsid w:val="000D2AF8"/>
    <w:rsid w:val="000E0C44"/>
    <w:rsid w:val="000E3C3F"/>
    <w:rsid w:val="00115A21"/>
    <w:rsid w:val="001407EB"/>
    <w:rsid w:val="001417BD"/>
    <w:rsid w:val="001419B4"/>
    <w:rsid w:val="00145DB7"/>
    <w:rsid w:val="00151E5F"/>
    <w:rsid w:val="001525AC"/>
    <w:rsid w:val="0016387A"/>
    <w:rsid w:val="00177AE0"/>
    <w:rsid w:val="0018492E"/>
    <w:rsid w:val="00194363"/>
    <w:rsid w:val="00194838"/>
    <w:rsid w:val="001A1AD7"/>
    <w:rsid w:val="001C7166"/>
    <w:rsid w:val="001D1A54"/>
    <w:rsid w:val="001E3C88"/>
    <w:rsid w:val="001E7BA8"/>
    <w:rsid w:val="001F4405"/>
    <w:rsid w:val="00216361"/>
    <w:rsid w:val="00243023"/>
    <w:rsid w:val="00265008"/>
    <w:rsid w:val="00267AA0"/>
    <w:rsid w:val="002807FF"/>
    <w:rsid w:val="002A6DDF"/>
    <w:rsid w:val="002C20CD"/>
    <w:rsid w:val="002C3350"/>
    <w:rsid w:val="003075D2"/>
    <w:rsid w:val="00327624"/>
    <w:rsid w:val="0034087B"/>
    <w:rsid w:val="0034306A"/>
    <w:rsid w:val="00343663"/>
    <w:rsid w:val="003524D2"/>
    <w:rsid w:val="00357B99"/>
    <w:rsid w:val="0036277F"/>
    <w:rsid w:val="00370A4C"/>
    <w:rsid w:val="003808EA"/>
    <w:rsid w:val="003936A6"/>
    <w:rsid w:val="003A0D04"/>
    <w:rsid w:val="003A10B6"/>
    <w:rsid w:val="003A67EB"/>
    <w:rsid w:val="003C13D5"/>
    <w:rsid w:val="003C57A1"/>
    <w:rsid w:val="003F3B20"/>
    <w:rsid w:val="003F5696"/>
    <w:rsid w:val="00414C05"/>
    <w:rsid w:val="0041731C"/>
    <w:rsid w:val="0042670F"/>
    <w:rsid w:val="0043353C"/>
    <w:rsid w:val="004416FA"/>
    <w:rsid w:val="0044771D"/>
    <w:rsid w:val="00447FD2"/>
    <w:rsid w:val="0045517B"/>
    <w:rsid w:val="0045594D"/>
    <w:rsid w:val="00470AEB"/>
    <w:rsid w:val="004C409A"/>
    <w:rsid w:val="004D34F9"/>
    <w:rsid w:val="004E78B8"/>
    <w:rsid w:val="0051200C"/>
    <w:rsid w:val="005315C1"/>
    <w:rsid w:val="00533F90"/>
    <w:rsid w:val="00541DE0"/>
    <w:rsid w:val="0054263E"/>
    <w:rsid w:val="00556698"/>
    <w:rsid w:val="00570359"/>
    <w:rsid w:val="005834C5"/>
    <w:rsid w:val="005A1161"/>
    <w:rsid w:val="005B0E53"/>
    <w:rsid w:val="005C09F2"/>
    <w:rsid w:val="005D11AF"/>
    <w:rsid w:val="005D7CC7"/>
    <w:rsid w:val="006041A9"/>
    <w:rsid w:val="00604275"/>
    <w:rsid w:val="00646401"/>
    <w:rsid w:val="00646613"/>
    <w:rsid w:val="00652E53"/>
    <w:rsid w:val="00660681"/>
    <w:rsid w:val="0067057C"/>
    <w:rsid w:val="0067475D"/>
    <w:rsid w:val="0067475E"/>
    <w:rsid w:val="00687869"/>
    <w:rsid w:val="00694375"/>
    <w:rsid w:val="006A2EE8"/>
    <w:rsid w:val="006C6279"/>
    <w:rsid w:val="006D5C45"/>
    <w:rsid w:val="006E437F"/>
    <w:rsid w:val="006F0C09"/>
    <w:rsid w:val="006F111E"/>
    <w:rsid w:val="006F5C32"/>
    <w:rsid w:val="007075CC"/>
    <w:rsid w:val="00727493"/>
    <w:rsid w:val="00730680"/>
    <w:rsid w:val="00747169"/>
    <w:rsid w:val="0076049D"/>
    <w:rsid w:val="00761197"/>
    <w:rsid w:val="00761E5B"/>
    <w:rsid w:val="007B6399"/>
    <w:rsid w:val="007C2DD9"/>
    <w:rsid w:val="007C57F5"/>
    <w:rsid w:val="007D00EE"/>
    <w:rsid w:val="007E0EC2"/>
    <w:rsid w:val="007E4B89"/>
    <w:rsid w:val="007F2586"/>
    <w:rsid w:val="007F6E46"/>
    <w:rsid w:val="00815C6A"/>
    <w:rsid w:val="00816B07"/>
    <w:rsid w:val="00824226"/>
    <w:rsid w:val="00833F34"/>
    <w:rsid w:val="0083598C"/>
    <w:rsid w:val="00857567"/>
    <w:rsid w:val="00874EED"/>
    <w:rsid w:val="00895F14"/>
    <w:rsid w:val="00896DDA"/>
    <w:rsid w:val="008E58DB"/>
    <w:rsid w:val="008F4707"/>
    <w:rsid w:val="0091394D"/>
    <w:rsid w:val="009169F9"/>
    <w:rsid w:val="0092336D"/>
    <w:rsid w:val="0093605C"/>
    <w:rsid w:val="009370A7"/>
    <w:rsid w:val="00940E4C"/>
    <w:rsid w:val="0094328C"/>
    <w:rsid w:val="00943F07"/>
    <w:rsid w:val="00952C02"/>
    <w:rsid w:val="00955F4D"/>
    <w:rsid w:val="0096004B"/>
    <w:rsid w:val="00960F81"/>
    <w:rsid w:val="00965077"/>
    <w:rsid w:val="009876DB"/>
    <w:rsid w:val="009A3D17"/>
    <w:rsid w:val="009B6F42"/>
    <w:rsid w:val="009E1B25"/>
    <w:rsid w:val="009E566B"/>
    <w:rsid w:val="00A05633"/>
    <w:rsid w:val="00A14A29"/>
    <w:rsid w:val="00A261BF"/>
    <w:rsid w:val="00A31271"/>
    <w:rsid w:val="00A467D3"/>
    <w:rsid w:val="00A4709C"/>
    <w:rsid w:val="00A471CE"/>
    <w:rsid w:val="00A55B01"/>
    <w:rsid w:val="00A652D0"/>
    <w:rsid w:val="00A75FB3"/>
    <w:rsid w:val="00A829F8"/>
    <w:rsid w:val="00A90559"/>
    <w:rsid w:val="00A969DA"/>
    <w:rsid w:val="00AB0400"/>
    <w:rsid w:val="00AC2129"/>
    <w:rsid w:val="00AD07C7"/>
    <w:rsid w:val="00AF1F99"/>
    <w:rsid w:val="00B01C41"/>
    <w:rsid w:val="00B03211"/>
    <w:rsid w:val="00B1146E"/>
    <w:rsid w:val="00B21E19"/>
    <w:rsid w:val="00B322A9"/>
    <w:rsid w:val="00B3461F"/>
    <w:rsid w:val="00B53B3F"/>
    <w:rsid w:val="00B66971"/>
    <w:rsid w:val="00B70D14"/>
    <w:rsid w:val="00B73261"/>
    <w:rsid w:val="00B733D7"/>
    <w:rsid w:val="00B81ED6"/>
    <w:rsid w:val="00BA49CA"/>
    <w:rsid w:val="00BB0BFF"/>
    <w:rsid w:val="00BC7084"/>
    <w:rsid w:val="00BD33E5"/>
    <w:rsid w:val="00BD7045"/>
    <w:rsid w:val="00BF7E1F"/>
    <w:rsid w:val="00C020F6"/>
    <w:rsid w:val="00C464EC"/>
    <w:rsid w:val="00C6384A"/>
    <w:rsid w:val="00C70C73"/>
    <w:rsid w:val="00C72A22"/>
    <w:rsid w:val="00C745AD"/>
    <w:rsid w:val="00C77574"/>
    <w:rsid w:val="00C77F45"/>
    <w:rsid w:val="00C87254"/>
    <w:rsid w:val="00CA10C3"/>
    <w:rsid w:val="00CA57D2"/>
    <w:rsid w:val="00CB4B35"/>
    <w:rsid w:val="00CB72E6"/>
    <w:rsid w:val="00CC2E2B"/>
    <w:rsid w:val="00CC53CD"/>
    <w:rsid w:val="00CD300D"/>
    <w:rsid w:val="00CE5ABC"/>
    <w:rsid w:val="00D20A3C"/>
    <w:rsid w:val="00D37EAF"/>
    <w:rsid w:val="00D40432"/>
    <w:rsid w:val="00D63B50"/>
    <w:rsid w:val="00D74E0A"/>
    <w:rsid w:val="00DA1C4F"/>
    <w:rsid w:val="00DC32DC"/>
    <w:rsid w:val="00DC50C0"/>
    <w:rsid w:val="00DD5AF8"/>
    <w:rsid w:val="00DF28A8"/>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611E"/>
    <w:rsid w:val="00E80805"/>
    <w:rsid w:val="00E82A2A"/>
    <w:rsid w:val="00E847CC"/>
    <w:rsid w:val="00EA09C1"/>
    <w:rsid w:val="00EA26F3"/>
    <w:rsid w:val="00EA45D8"/>
    <w:rsid w:val="00EA51ED"/>
    <w:rsid w:val="00EA75E4"/>
    <w:rsid w:val="00EB7A1A"/>
    <w:rsid w:val="00ED0E4D"/>
    <w:rsid w:val="00EE1549"/>
    <w:rsid w:val="00F00AE1"/>
    <w:rsid w:val="00F03411"/>
    <w:rsid w:val="00F2432D"/>
    <w:rsid w:val="00F410FA"/>
    <w:rsid w:val="00F43647"/>
    <w:rsid w:val="00F57FA6"/>
    <w:rsid w:val="00F60569"/>
    <w:rsid w:val="00F707D0"/>
    <w:rsid w:val="00F715EA"/>
    <w:rsid w:val="00FB282F"/>
    <w:rsid w:val="00FB383C"/>
    <w:rsid w:val="00FB50A9"/>
    <w:rsid w:val="00FC145A"/>
    <w:rsid w:val="00FC266A"/>
    <w:rsid w:val="00FD4EF6"/>
    <w:rsid w:val="00FF3136"/>
    <w:rsid w:val="00FF31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CA9D8A"/>
  <w15:chartTrackingRefBased/>
  <w15:docId w15:val="{600DFF39-AD0D-49BF-8938-674C7DA9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s-ES"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s-ES"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customStyle="1" w:styleId="LHbase-type11ptregular">
    <w:name w:val="LH_base-type 11pt regular"/>
    <w:qFormat/>
    <w:rsid w:val="00EB7A1A"/>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autoRedefine/>
    <w:qFormat/>
    <w:rsid w:val="00EB7A1A"/>
    <w:pPr>
      <w:suppressAutoHyphens/>
      <w:spacing w:after="360" w:line="360" w:lineRule="auto"/>
    </w:pPr>
    <w:rPr>
      <w:rFonts w:ascii="Arial" w:eastAsia="Times New Roman" w:hAnsi="Arial" w:cs="Times New Roman"/>
      <w:color w:val="000000"/>
      <w:szCs w:val="24"/>
      <w:lang w:eastAsia="de-DE"/>
    </w:rPr>
  </w:style>
  <w:style w:type="paragraph" w:styleId="Sprechblasentext">
    <w:name w:val="Balloon Text"/>
    <w:basedOn w:val="Standard"/>
    <w:link w:val="SprechblasentextZchn"/>
    <w:uiPriority w:val="99"/>
    <w:semiHidden/>
    <w:unhideWhenUsed/>
    <w:rsid w:val="007306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tTSbdbeNos&amp;t=57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7A516D97-0BC9-4FA0-B95E-C388C6247712}">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F82B5313-0A76-4D60-BD56-2F68BFF63D49}">
  <ds:schemaRefs>
    <ds:schemaRef ds:uri="http://purl.org/dc/dcmitype/"/>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4.xml><?xml version="1.0" encoding="utf-8"?>
<ds:datastoreItem xmlns:ds="http://schemas.openxmlformats.org/officeDocument/2006/customXml" ds:itemID="{3230A879-413B-4ED0-BD73-8067A00D79D0}">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2930</Characters>
  <Application>Microsoft Office Word</Application>
  <DocSecurity>0</DocSecurity>
  <Lines>24</Lines>
  <Paragraphs>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2022-10-13T08:28:00Z</cp:lastPrinted>
  <dcterms:created xsi:type="dcterms:W3CDTF">2022-10-13T08:27:00Z</dcterms:created>
  <dcterms:modified xsi:type="dcterms:W3CDTF">2022-10-13T08:28:00Z</dcterms:modified>
  <cp:category>Presseinformation</cp:category>
</cp:coreProperties>
</file>