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265076" w:rsidRPr="004923AD" w:rsidRDefault="00E847CC" w:rsidP="00E847CC">
      <w:pPr>
        <w:pStyle w:val="Topline16Pt"/>
      </w:pPr>
      <w:r>
        <w:t>Communiqué de presse</w:t>
      </w:r>
    </w:p>
    <w:p w14:paraId="2D95C493" w14:textId="5FD7B2A9" w:rsidR="00E847CC" w:rsidRPr="004923AD" w:rsidRDefault="00E047D1" w:rsidP="00E847CC">
      <w:pPr>
        <w:pStyle w:val="HeadlineH233Pt"/>
        <w:spacing w:line="240" w:lineRule="auto"/>
        <w:rPr>
          <w:rFonts w:cs="Arial"/>
        </w:rPr>
      </w:pPr>
      <w:r>
        <w:t xml:space="preserve">Bauma 2022 : Le PR 766 G8 </w:t>
      </w:r>
      <w:r w:rsidR="004A3603">
        <w:t xml:space="preserve">Liebherr </w:t>
      </w:r>
      <w:r>
        <w:t>fai</w:t>
      </w:r>
      <w:bookmarkStart w:id="0" w:name="_GoBack"/>
      <w:bookmarkEnd w:id="0"/>
      <w:r>
        <w:t>t ses grands débuts</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04EE7C74" w:rsidR="009A3D17" w:rsidRPr="00EB1F5A" w:rsidRDefault="00F5541F" w:rsidP="009A3D17">
      <w:pPr>
        <w:pStyle w:val="Bulletpoints11Pt"/>
      </w:pPr>
      <w:r>
        <w:t>Le PR 766 G8 est équipé du train de roulement « High Drive », idéal pour les utilisations exigeantes dans l’industrie minière</w:t>
      </w:r>
    </w:p>
    <w:p w14:paraId="5A21C9E8" w14:textId="6582317A" w:rsidR="009A3D17" w:rsidRDefault="00EB1F5A" w:rsidP="009A3D17">
      <w:pPr>
        <w:pStyle w:val="Bulletpoints11Pt"/>
      </w:pPr>
      <w:r>
        <w:t>Une longueur d’avance en termes d’efficacité : le seul bouteur à commande hydrostatique parmi les 50 tonnes</w:t>
      </w:r>
    </w:p>
    <w:p w14:paraId="0F15C473" w14:textId="5C08F766" w:rsidR="00483591" w:rsidRPr="00EB1F5A" w:rsidRDefault="00483591" w:rsidP="009A3D17">
      <w:pPr>
        <w:pStyle w:val="Bulletpoints11Pt"/>
      </w:pPr>
      <w:r>
        <w:t>Gain de productivité grâce à davantage de sécurité et de confort</w:t>
      </w:r>
    </w:p>
    <w:p w14:paraId="78635129" w14:textId="45DEB2EE" w:rsidR="00EB1F5A" w:rsidRPr="00EB1F5A" w:rsidRDefault="009E3BD7" w:rsidP="00EB1F5A">
      <w:pPr>
        <w:pStyle w:val="Bulletpoints11Pt"/>
      </w:pPr>
      <w:r>
        <w:t>Lancement sur le marché : Bauma 2022</w:t>
      </w:r>
    </w:p>
    <w:p w14:paraId="398FB001" w14:textId="6D1574CA" w:rsidR="009A3D17" w:rsidRPr="004923AD" w:rsidRDefault="009F1CC6" w:rsidP="00B04719">
      <w:pPr>
        <w:pStyle w:val="Teaser11Pt"/>
      </w:pPr>
      <w:r>
        <w:t>Avec le PR 766 G8, Liebherr étoffe sa flotte de la génération 8 avec des bouteurs de terrassement jusqu’à un poids en ordre de marche de 55 tonnes. Cet engin vient par ailleurs conforter l’assise de la marque dans le domaine de la mine : Tout comme le PR 776, le plus grand bouteur Liebherr, le PR 766 G8 est désormais doté du train de roulement « High Drive », maintes fois éprouvé dans des opérations d’extraction.</w:t>
      </w:r>
    </w:p>
    <w:p w14:paraId="1FD220EB" w14:textId="4EE33685" w:rsidR="00AD05F6" w:rsidRDefault="00562619" w:rsidP="009F1CC6">
      <w:pPr>
        <w:pStyle w:val="Copytext11Pt"/>
      </w:pPr>
      <w:r>
        <w:t xml:space="preserve">Munich </w:t>
      </w:r>
      <w:r w:rsidR="009A1687">
        <w:t>(</w:t>
      </w:r>
      <w:r>
        <w:t>Allemagne</w:t>
      </w:r>
      <w:r w:rsidR="009A1687">
        <w:t xml:space="preserve">), 24 Octobre 2022 </w:t>
      </w:r>
      <w:r w:rsidR="009F1CC6">
        <w:t>– Comme bouteur multifonctions pour la manutention de matériaux et l’extraction de matières premières : au vu des principales utilisations du PR 766 G8</w:t>
      </w:r>
      <w:r w:rsidR="00A608D0">
        <w:t xml:space="preserve"> Liebherr</w:t>
      </w:r>
      <w:r w:rsidR="009F1CC6">
        <w:t xml:space="preserve">, le potentiel pour les clients de la toute dernière génération d’engins est phénoménal. Le train de roulement de conception nouvelle, conjugué aux atouts d’une cabine confort et à la convivialité d’utilisation, est la promesse de performances et d’une productivité maximales pour l’engin comme pour l’opérateur, même sur terrain rocailleux et lors de travaux de longue durée. Dans le même temps, le bouteur de nivellement Liebherr peut compter sur un concept d’entraînement diesel-hydraulique pour se démarquer de la concurrence et de ses convertisseurs de couple conventionnels. Les gains d’efficacité, en matière de consommation de </w:t>
      </w:r>
      <w:r w:rsidR="00AB440B">
        <w:t>carburant</w:t>
      </w:r>
      <w:r w:rsidR="009F1CC6">
        <w:t xml:space="preserve"> notamment, sont aussi remarquables qu’avec la gamme précédente et les modèles de plus grande et de plus petite taille.</w:t>
      </w:r>
    </w:p>
    <w:p w14:paraId="3EDABC53" w14:textId="59EE82D2" w:rsidR="00013F2D" w:rsidRPr="0037604F" w:rsidRDefault="00013F2D" w:rsidP="0004432D">
      <w:pPr>
        <w:pStyle w:val="Copyhead11Pt"/>
      </w:pPr>
      <w:r>
        <w:t>Rentabilité et performances : un concept d’entraînement moderne à variation continue</w:t>
      </w:r>
    </w:p>
    <w:p w14:paraId="2954D6E2" w14:textId="16012B28" w:rsidR="00397D08" w:rsidRPr="004923AD" w:rsidRDefault="00397D08" w:rsidP="00397D08">
      <w:pPr>
        <w:pStyle w:val="Copytext11Pt"/>
      </w:pPr>
      <w:r>
        <w:t>Le nouveau PR 766 G8 est propulsé par un moteur diesel Liebherr 8 cylindres développant une puissance de 360 kW (490 ch) maximum et satisfait aux normes d’émission Phase V et Tier 4f. Le poids en ordre de marche du bouteur hydrostatique peut atteindre 54,3 t et les lames disponibles affichent une capacité de 13,6 m³ (lame semi U) ou de 17 m³ (lame U).</w:t>
      </w:r>
    </w:p>
    <w:p w14:paraId="679BDF45" w14:textId="3DFD8070" w:rsidR="00966D0E" w:rsidRPr="004923AD" w:rsidRDefault="00013F2D" w:rsidP="009A3D17">
      <w:pPr>
        <w:pStyle w:val="Copytext11Pt"/>
      </w:pPr>
      <w:r>
        <w:t xml:space="preserve">Pour les utilisateurs du PR 766 G8, le concept d’entraînement hydrostatique continu de Liebherr est synonyme de préservation maximale des ressources : les composants d’entraînement et la gestion intelligente du moteur Liebherr sont entièrement adaptés les uns aux autres, l’entraînement hydrostatique se chargeant de maintenir constamment le régime du moteur diesel dans une plage optimale du point de vue économique (~ 1 600 tr/min). Une particularité qui distingue la transmission </w:t>
      </w:r>
      <w:r>
        <w:lastRenderedPageBreak/>
        <w:t>Liebherr des autres concepts d’entraînement disponibles sur le marché dans la catégorie D9, dont le moteur subit de fortes variations de régime au fil de l’utilisation.</w:t>
      </w:r>
    </w:p>
    <w:p w14:paraId="4731F59A" w14:textId="08CD42F9" w:rsidR="00013F2D" w:rsidRPr="004923AD" w:rsidRDefault="00013F2D" w:rsidP="009A3D17">
      <w:pPr>
        <w:pStyle w:val="Copytext11Pt"/>
      </w:pPr>
      <w:r>
        <w:t>Avec la génération 8, la fonction ECO est de série sur tous les bouteurs Liebherr. Celle-ci offre au conducteur le choix entre une puissance soutenue (avec Power Boost automatique) et une rentabilité maximale, permettant ainsi d’économiser davantage de carburant lors des opérations de faible à moyenne intensité.</w:t>
      </w:r>
    </w:p>
    <w:p w14:paraId="4192E922" w14:textId="18B7C1AA" w:rsidR="00013F2D" w:rsidRDefault="00013F2D" w:rsidP="009A3D17">
      <w:pPr>
        <w:pStyle w:val="Copytext11Pt"/>
      </w:pPr>
      <w:r>
        <w:t>Le groupe motopropulseur Liebherr au complet est le gage, à puissance de poussée égale, d’une efficacité importante couplée à une consommation de carburant bien inférieure aux standards de l’industrie.</w:t>
      </w:r>
    </w:p>
    <w:p w14:paraId="1DE0021A" w14:textId="77777777" w:rsidR="00CF28B5" w:rsidRDefault="00CF28B5" w:rsidP="00CF28B5">
      <w:pPr>
        <w:pStyle w:val="Copyhead11Pt"/>
      </w:pPr>
      <w:r>
        <w:t>Fiabilité : des composants robustes fabriqués en interne</w:t>
      </w:r>
    </w:p>
    <w:p w14:paraId="35BD6B6C" w14:textId="2D04535D" w:rsidR="00CF28B5" w:rsidRPr="0026103C" w:rsidRDefault="00CF28B5" w:rsidP="009A1687">
      <w:pPr>
        <w:pStyle w:val="Copytext11Pt"/>
      </w:pPr>
      <w:r>
        <w:t>Depuis des décennies, les moteurs Liebherr en service sur des engins de construction montrent toute l’étendue de leur talent dans le monde entier. Conçus pour les conditions d’utilisation les plus difficiles, ils garantissent une sécurité de fonctionnement maximale et une durée de vie élevée de par leur construction robuste et leurs technologies ultramodernes. La transmission hydrostatique Liebherr, dont les preuves ne sont plus à faire, ne comporte pas de composants soumis à une forte usure, tels que boîte de vitesses, embrayage de direction ou frein de service. Au lieu de cela, les pompes et moteurs hydrauliques de qualité supérieure sont quasi inusables pour une sécurité de fonctionnement à toute épreuve.</w:t>
      </w:r>
    </w:p>
    <w:p w14:paraId="5C8D58FE" w14:textId="0F4FC9A1" w:rsidR="00CF28B5" w:rsidRPr="00CF28B5" w:rsidRDefault="00CF28B5" w:rsidP="009A1687">
      <w:pPr>
        <w:pStyle w:val="Copytext11Pt"/>
        <w:rPr>
          <w:b/>
        </w:rPr>
      </w:pPr>
      <w:r>
        <w:t>Pour les interventions spéciales particulièrement exigeantes – comme dans les déserts, à des températures très basses ou dans des industries spéciales (mine, bois, papier, etc.) – Liebherr propose un vaste éventail d’adaptations réalisées en usine et validées dans la pratique.</w:t>
      </w:r>
    </w:p>
    <w:p w14:paraId="661479E4" w14:textId="029A4135" w:rsidR="004B0D72" w:rsidRPr="009A1687" w:rsidRDefault="00B04719" w:rsidP="009A1687">
      <w:pPr>
        <w:pStyle w:val="Copyhead11Pt"/>
      </w:pPr>
      <w:r w:rsidRPr="009A1687">
        <w:t>Concept de train de roulement optimisé pour l’utilisation : High Drive pour les opérations d’extraction exigeantes</w:t>
      </w:r>
    </w:p>
    <w:p w14:paraId="5C6F1266" w14:textId="548FD313" w:rsidR="004B0D72" w:rsidRDefault="004B0D72" w:rsidP="009A3D17">
      <w:pPr>
        <w:pStyle w:val="Copytext11Pt"/>
      </w:pPr>
      <w:r>
        <w:t>Soucieux de répondre plus efficacement aux exigences des travaux sur terrain rocailleux, Liebherr a adapté au PR 766 G8 la conception du train de roulement de son grand bouteur de 70 tonnes.</w:t>
      </w:r>
    </w:p>
    <w:p w14:paraId="2CD28908" w14:textId="3926150B" w:rsidR="00E047D1" w:rsidRPr="00FC5174" w:rsidRDefault="004B0D72" w:rsidP="00BC0DAF">
      <w:pPr>
        <w:pStyle w:val="Copytext11Pt"/>
        <w:rPr>
          <w:highlight w:val="yellow"/>
        </w:rPr>
      </w:pPr>
      <w:r>
        <w:t>Les galets de roulement et les roues directrices sur palier oscillant se chargent d’absorber les chocs tout en assurant une remarquable traction de chaîne. Outre une meilleure adaptation du train de roulement au sol lors de la conduite sur roche, la position surélevée de la transmission finale se révèle ici particulièrement pertinente : le « High Drive » atténue grandement l’usure des barbotins ainsi que des coussinets et préserve la transmission finale et ses joints des dommages et de la saleté.</w:t>
      </w:r>
    </w:p>
    <w:p w14:paraId="7E9103AB" w14:textId="1FA32F88" w:rsidR="009A3D17" w:rsidRPr="004923AD" w:rsidRDefault="004923AD" w:rsidP="009A3D17">
      <w:pPr>
        <w:pStyle w:val="Copyhead11Pt"/>
      </w:pPr>
      <w:r>
        <w:t>Confort pour l’opérateur : cabine moderne, commandes intuitives</w:t>
      </w:r>
    </w:p>
    <w:p w14:paraId="6FA48485" w14:textId="23DCF14B" w:rsidR="004923AD" w:rsidRPr="00C72409" w:rsidRDefault="004923AD" w:rsidP="00C72409">
      <w:pPr>
        <w:pStyle w:val="Copytext11Pt"/>
      </w:pPr>
      <w:r>
        <w:t>Dans un poste de conduite conçu tout spécialement pour cette catégorie d’appareils, le conducteur trouve immédiatement ses marques. Grâce à la commande par joystick maintes fois éprouvée chez Liebherr, il conserve la pleine maîtrise des mouvements de conduite et de manœuvre avec un seul et même organe électronique de contrôle.</w:t>
      </w:r>
    </w:p>
    <w:p w14:paraId="157CD449" w14:textId="72363000" w:rsidR="004923AD" w:rsidRPr="00C72409" w:rsidRDefault="004923AD" w:rsidP="00C72409">
      <w:pPr>
        <w:pStyle w:val="Copytext11Pt"/>
      </w:pPr>
      <w:r>
        <w:lastRenderedPageBreak/>
        <w:t>Parmi les particularités de la cabine, on peut citer les éléments de commande centralisés, l’écran tactile de 9 pouces ainsi que de nombreux rangements dont un climatisé. Sur l’écran, l’opérateur peut consulter tous les paramètres importants de l’engin, régler de façon conviviale les modes d’utilisation tels que la fonction ECO, la baisse automatique du régime moteur ainsi que la réactivité du mécanisme d’entraînement et de la direction, mais aussi commander les fonctions de confort et de sécurité, comme la caméra de recul de série par exemple.</w:t>
      </w:r>
    </w:p>
    <w:p w14:paraId="7C31AF75" w14:textId="7A168113" w:rsidR="004923AD" w:rsidRPr="00C72409" w:rsidRDefault="00C9206A" w:rsidP="00C72409">
      <w:pPr>
        <w:pStyle w:val="Copytext11Pt"/>
      </w:pPr>
      <w:r>
        <w:t>Le poste de travail spacieux du PR 766 G8 offre les conditions idéales pour travailler sans se fatiguer. L’opérateur peut régler toutes les commandes de la transmission, de la lame et du scarificateur sur la position qui lui convient le mieux en termes d’ergonomie. Grâce à la forme des joysticks, conçue pour permettre une position ergonomique des mains, le confort de travail est optimal. Le contacteur intégré au siège reconnaît automatiquement le conducteur, sans que celui n’ait à actionner de levier de sécurité.</w:t>
      </w:r>
    </w:p>
    <w:p w14:paraId="10D7DEFB" w14:textId="560A6DF7" w:rsidR="004923AD" w:rsidRPr="004923AD" w:rsidRDefault="004923AD" w:rsidP="004923AD">
      <w:pPr>
        <w:pStyle w:val="Copyhead11Pt"/>
      </w:pPr>
      <w:r>
        <w:t>Un maximum de sécurité grâce à une excellente visibilité sur les équipements de travail et les alentours</w:t>
      </w:r>
    </w:p>
    <w:p w14:paraId="5D1AEF70" w14:textId="41352FCA" w:rsidR="004923AD" w:rsidRPr="00C72409" w:rsidRDefault="004923AD" w:rsidP="00C72409">
      <w:pPr>
        <w:pStyle w:val="Copytext11Pt"/>
      </w:pPr>
      <w:r>
        <w:t xml:space="preserve">Le design moderne du tout nouveau PR 766 G8 </w:t>
      </w:r>
      <w:r w:rsidR="008F6955">
        <w:t xml:space="preserve">Liebherr </w:t>
      </w:r>
      <w:r>
        <w:t>offre à l’opérateur une visibilité dégagée dans toutes les directions, ce qui permet de travailler de manière particulièrement efficace et d’améliorer la sécurité en service quotidien.</w:t>
      </w:r>
    </w:p>
    <w:p w14:paraId="2AFF1165" w14:textId="084E07CA" w:rsidR="004923AD" w:rsidRPr="00C72409" w:rsidRDefault="004923AD" w:rsidP="00C72409">
      <w:pPr>
        <w:pStyle w:val="Copytext11Pt"/>
      </w:pPr>
      <w:r>
        <w:t>Les bords inclinés de tous les côtés, le vitrage panoramique mais aussi la protection ROPS/FOPS directement intégrée à la structure de la cabine permettent une visibilité optimale sur le terrain tout autour, mais aussi sur la lame et le scarificateur arrière. Une vue dégagée vers l’avant et sur la zone de travail latérale est possible sans que ni le système d’échappement ni la plateforme de travail continue ne vienne l’entraver. Cette dernière sert à accéder à la cabine, aux points de service et aux embouts de remplissage pour le carburant et autres consommables.</w:t>
      </w:r>
    </w:p>
    <w:p w14:paraId="2D9D55A2" w14:textId="4B7903A1" w:rsidR="007F4514" w:rsidRPr="00C72409" w:rsidRDefault="004923AD" w:rsidP="00C72409">
      <w:pPr>
        <w:pStyle w:val="Copytext11Pt"/>
      </w:pPr>
      <w:r>
        <w:t>Des LED modernes (1 200 lm) permettent un éclairage optimal de la zone de travail. Le concept d’éclairage modulaire (avec feux d’appoint ou LED haute performance de 4</w:t>
      </w:r>
      <w:r w:rsidR="00056A39">
        <w:t xml:space="preserve"> </w:t>
      </w:r>
      <w:r>
        <w:t>200 lm) se fond parfaitement au design global de l’engin et s’adapte parfaitement à l’utilisation prévue.</w:t>
      </w:r>
    </w:p>
    <w:p w14:paraId="28D6729F" w14:textId="6785DB04" w:rsidR="00265076" w:rsidRPr="00483591" w:rsidRDefault="007F4514" w:rsidP="00483591">
      <w:pPr>
        <w:pStyle w:val="Copyhead11Pt"/>
      </w:pPr>
      <w:r>
        <w:t>Accès optimal pour les opérations d’entretien et longs intervalles de remplacement</w:t>
      </w:r>
    </w:p>
    <w:p w14:paraId="3294FB3D" w14:textId="70F841B5" w:rsidR="007F4514" w:rsidRPr="00C72409" w:rsidRDefault="007F4514" w:rsidP="00C72409">
      <w:pPr>
        <w:pStyle w:val="Copytext11Pt"/>
      </w:pPr>
      <w:r>
        <w:t>L’accès rapide aux différentes parties de l’engin pour réaliser en toute simplicité l’entretien et la maintenance du nouveau bouteur Liebherr est garanti par des points d’entretien centralisés, des trappes d’accès et des portes de compartiment moteur à ouverture large, une cabine de conduite basculante de série et un ventilateur de radiateur qui, en option, pivote vers l’extérieur pour le nettoyage.</w:t>
      </w:r>
    </w:p>
    <w:p w14:paraId="7EFDB90E" w14:textId="30773B4A" w:rsidR="00265076" w:rsidRPr="00C72409" w:rsidRDefault="00265076" w:rsidP="00C72409">
      <w:pPr>
        <w:pStyle w:val="Copytext11Pt"/>
      </w:pPr>
      <w:r>
        <w:t xml:space="preserve">En outre, l’ensemble des bouteurs miniers Liebherr (PR 766 et </w:t>
      </w:r>
      <w:r w:rsidR="00D862BC">
        <w:t xml:space="preserve">PR </w:t>
      </w:r>
      <w:r>
        <w:t xml:space="preserve">776) sont pourvus à l’arrière de postes appelées « Ground Level Service Stations ». Il est ainsi possible de procéder aux travaux de maintenance et d’entretien quotidiens depuis le sol, de manière rapide et sûre. Côté électrique, des interrupteurs sont prévus pour l’éclairage des marches d’accès, l’arrêt d’urgence et le « Ground Level Lockout » (coupure du courant à des fins d’entretien du système électrique). Quant aux liquides et autres consommables, un raccord de changement rapide est prévu pour l’huile moteur, l’huile du </w:t>
      </w:r>
      <w:r>
        <w:lastRenderedPageBreak/>
        <w:t>mécanisme de distribution des pompes ou encore l’huile hydraulique, sans oublier un dispositif de ravitaillement rapide en carburant.</w:t>
      </w:r>
    </w:p>
    <w:p w14:paraId="29872DA2" w14:textId="35F6F1FF" w:rsidR="0026103C" w:rsidRPr="0004432D" w:rsidRDefault="007F4514" w:rsidP="00D27105">
      <w:pPr>
        <w:pStyle w:val="Copytext11Pt"/>
      </w:pPr>
      <w:proofErr w:type="spellStart"/>
      <w:r>
        <w:t>LiDAT</w:t>
      </w:r>
      <w:proofErr w:type="spellEnd"/>
      <w:r>
        <w:t xml:space="preserve">, le système </w:t>
      </w:r>
      <w:r w:rsidR="00507936">
        <w:t>de</w:t>
      </w:r>
      <w:r>
        <w:t xml:space="preserve"> série de gestion de flotte Liebherr, permet de consulter et de gérer plus efficacement les travaux d’entretien nécessaires, les alertes, la position de l’engin ainsi que les dernières valeurs de consommation et les niveaux de remplissage. En fonction de l’abonnement souscrit, les données sont mises à jour plusieurs fois dans la journée et peuvent être consultées à tout moment via Internet. Dans le cas des informations particulièrement importantes, une alarme automatique peut être configurée lorsque l’appareil quitte une zone prédéfinie ou en cas d’état de fonctionnement critique par exemple.</w:t>
      </w:r>
    </w:p>
    <w:p w14:paraId="6089362C" w14:textId="26CD81FA" w:rsidR="009A3D17" w:rsidRPr="008B5AF8" w:rsidRDefault="009A3D17" w:rsidP="004923AD">
      <w:pPr>
        <w:pStyle w:val="BoilerplateCopyhead9Pt"/>
      </w:pPr>
      <w:r>
        <w:t>À propos de la société Liebherr-Werk Telfs GmbH</w:t>
      </w:r>
    </w:p>
    <w:p w14:paraId="4AA7F1FB" w14:textId="38ED811D" w:rsidR="00C72409" w:rsidRPr="0037604F" w:rsidRDefault="0035493F" w:rsidP="0004432D">
      <w:pPr>
        <w:pStyle w:val="BoilerplateCopytext9Pt"/>
        <w:rPr>
          <w:b/>
        </w:rPr>
      </w:pPr>
      <w:r>
        <w:t>La société Liebherr-</w:t>
      </w:r>
      <w:proofErr w:type="spellStart"/>
      <w:r>
        <w:t>Werk</w:t>
      </w:r>
      <w:proofErr w:type="spellEnd"/>
      <w:r>
        <w:t xml:space="preserve"> </w:t>
      </w:r>
      <w:proofErr w:type="spellStart"/>
      <w:r>
        <w:t>Telfs</w:t>
      </w:r>
      <w:proofErr w:type="spellEnd"/>
      <w:r>
        <w:t xml:space="preserve"> </w:t>
      </w:r>
      <w:proofErr w:type="spellStart"/>
      <w:r>
        <w:t>GmbH</w:t>
      </w:r>
      <w:proofErr w:type="spellEnd"/>
      <w:r>
        <w:t xml:space="preserve"> produit depuis 1976 une palette toujours plus large d’engins de construction équipés de transmission hydrostatique. Pour ce faire, l’entreprise peut se prévaloir de la longue expérience du groupe Liebherr en la matière. Bouteurs ou chargeuses sur chenilles, chariots télescopiques ou poseurs de canalisations, les engins de Telfs sont tous conçus dans une optique de forte rentabilité. Nos priorités sont l’augmentation de l’efficacité couplée à la réduction de la consommation de carburant et des émissions de CO2. Le développement et la fabrication reposent sur des technologies ultramodernes assistées par ordinateur : de la conception et la construction à la gestion informatisée de la qualité en passant par l’usinage confié à des robots de soudage.</w:t>
      </w:r>
    </w:p>
    <w:p w14:paraId="269ACAA8" w14:textId="77777777" w:rsidR="009A1687" w:rsidRDefault="009A1687" w:rsidP="009A1687">
      <w:pPr>
        <w:pStyle w:val="BoilerplateCopyhead9Pt"/>
      </w:pPr>
      <w:r>
        <w:t>À propos du Groupe Liebherr</w:t>
      </w:r>
    </w:p>
    <w:p w14:paraId="1B5D637A" w14:textId="77777777" w:rsidR="009A1687" w:rsidRDefault="009A1687" w:rsidP="009A1687">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0E6AAA4B" w14:textId="6F0D218C" w:rsidR="009A3D17" w:rsidRPr="00951AD6" w:rsidRDefault="009A1687" w:rsidP="00951AD6">
      <w:pPr>
        <w:pStyle w:val="Copyhead11Pt"/>
      </w:pPr>
      <w:r>
        <w:t>Images</w:t>
      </w:r>
    </w:p>
    <w:p w14:paraId="77C428D9" w14:textId="10DDD2FD" w:rsidR="009A3D17" w:rsidRDefault="00951AD6" w:rsidP="009A3D17">
      <w:r>
        <w:rPr>
          <w:noProof/>
          <w:lang w:val="de-DE"/>
        </w:rPr>
        <w:drawing>
          <wp:inline distT="0" distB="0" distL="0" distR="0" wp14:anchorId="655B6DB0" wp14:editId="43B89CA2">
            <wp:extent cx="2667000" cy="178117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14:paraId="6E2BE02A" w14:textId="68876DD6" w:rsidR="009A1687" w:rsidRDefault="005E28A9" w:rsidP="0093213F">
      <w:pPr>
        <w:pStyle w:val="Caption9Pt"/>
      </w:pPr>
      <w:r>
        <w:t>liebherr-pr766-g8.jpg</w:t>
      </w:r>
      <w:r>
        <w:br/>
        <w:t>Avec sa transmission hydrostatique, le PR 766 G8 développe automatiquement la plus grande force de traction possible pour les travaux de scarification</w:t>
      </w:r>
    </w:p>
    <w:p w14:paraId="2E8D9B36" w14:textId="77777777" w:rsidR="009A1687" w:rsidRDefault="009A1687">
      <w:pPr>
        <w:rPr>
          <w:rFonts w:ascii="Arial" w:eastAsiaTheme="minorHAnsi" w:hAnsi="Arial" w:cs="Arial"/>
          <w:sz w:val="18"/>
          <w:szCs w:val="18"/>
          <w:lang w:eastAsia="en-US"/>
        </w:rPr>
      </w:pPr>
      <w:r>
        <w:br w:type="page"/>
      </w:r>
    </w:p>
    <w:p w14:paraId="08BCF461" w14:textId="5D869136" w:rsidR="009A3D17" w:rsidRPr="00BA1DEA" w:rsidRDefault="00D63B50" w:rsidP="0004432D">
      <w:pPr>
        <w:pStyle w:val="Copyhead11Pt"/>
        <w:spacing w:before="240"/>
      </w:pPr>
      <w:r>
        <w:lastRenderedPageBreak/>
        <w:t>Contact</w:t>
      </w:r>
    </w:p>
    <w:p w14:paraId="53F7E788" w14:textId="1AC9F3AB" w:rsidR="009A3D17" w:rsidRPr="00A53434" w:rsidRDefault="0026103C" w:rsidP="009A3D17">
      <w:pPr>
        <w:pStyle w:val="Copytext11Pt"/>
      </w:pPr>
      <w:r>
        <w:t>Johannes Wiedorfer</w:t>
      </w:r>
      <w:r>
        <w:br/>
        <w:t>Directeur de contenu</w:t>
      </w:r>
      <w:r>
        <w:br/>
        <w:t>Téléphone : +43 (0)508096 / 1413</w:t>
      </w:r>
      <w:r>
        <w:br/>
        <w:t>E-Mail : johannes.wiedorfer@liebherr.com</w:t>
      </w:r>
    </w:p>
    <w:p w14:paraId="687A3262" w14:textId="77777777" w:rsidR="009A3D17" w:rsidRPr="00BA1DEA" w:rsidRDefault="009A3D17" w:rsidP="009A3D17">
      <w:pPr>
        <w:pStyle w:val="Copyhead11Pt"/>
      </w:pPr>
      <w:r>
        <w:t>Publié par</w:t>
      </w:r>
    </w:p>
    <w:p w14:paraId="32EBBB9C" w14:textId="002C8549" w:rsidR="00B81ED6" w:rsidRPr="00B81ED6" w:rsidRDefault="0026103C" w:rsidP="0026103C">
      <w:pPr>
        <w:pStyle w:val="Copytext11Pt"/>
      </w:pPr>
      <w:r>
        <w:t>Liebherr-Werk Telfs GmbH</w:t>
      </w:r>
      <w:r>
        <w:br/>
        <w:t>Telfs / Autriche</w:t>
      </w:r>
      <w:r>
        <w:br/>
      </w:r>
      <w:hyperlink r:id="rId13" w:history="1">
        <w:r>
          <w:t>www.liebherr.com</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D5C8" w14:textId="77777777" w:rsidR="00295674" w:rsidRDefault="00295674" w:rsidP="00B81ED6">
      <w:pPr>
        <w:spacing w:after="0" w:line="240" w:lineRule="auto"/>
      </w:pPr>
      <w:r>
        <w:separator/>
      </w:r>
    </w:p>
  </w:endnote>
  <w:endnote w:type="continuationSeparator" w:id="0">
    <w:p w14:paraId="31F748E7" w14:textId="77777777" w:rsidR="00295674" w:rsidRDefault="0029567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041820E6" w:rsidR="007B110D" w:rsidRPr="00E847CC" w:rsidRDefault="007B110D"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62619">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62619">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62619">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562619">
      <w:rPr>
        <w:rFonts w:ascii="Arial" w:hAnsi="Arial" w:cs="Arial"/>
      </w:rPr>
      <w:fldChar w:fldCharType="separate"/>
    </w:r>
    <w:r w:rsidR="00562619">
      <w:rPr>
        <w:rFonts w:ascii="Arial" w:hAnsi="Arial" w:cs="Arial"/>
        <w:noProof/>
      </w:rPr>
      <w:t>1</w:t>
    </w:r>
    <w:r w:rsidR="00562619" w:rsidRPr="0093605C">
      <w:rPr>
        <w:rFonts w:ascii="Arial" w:hAnsi="Arial" w:cs="Arial"/>
        <w:noProof/>
      </w:rPr>
      <w:t>/</w:t>
    </w:r>
    <w:r w:rsidR="00562619">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330B2" w14:textId="77777777" w:rsidR="00295674" w:rsidRDefault="00295674" w:rsidP="00B81ED6">
      <w:pPr>
        <w:spacing w:after="0" w:line="240" w:lineRule="auto"/>
      </w:pPr>
      <w:r>
        <w:separator/>
      </w:r>
    </w:p>
  </w:footnote>
  <w:footnote w:type="continuationSeparator" w:id="0">
    <w:p w14:paraId="361DAF11" w14:textId="77777777" w:rsidR="00295674" w:rsidRDefault="0029567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7B110D" w:rsidRDefault="007B110D">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7B110D" w:rsidRDefault="007B11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3F2D"/>
    <w:rsid w:val="00014729"/>
    <w:rsid w:val="00033002"/>
    <w:rsid w:val="00036823"/>
    <w:rsid w:val="0004432D"/>
    <w:rsid w:val="00056A39"/>
    <w:rsid w:val="00066E54"/>
    <w:rsid w:val="000E3C3F"/>
    <w:rsid w:val="001419B4"/>
    <w:rsid w:val="00145DB7"/>
    <w:rsid w:val="00180CEC"/>
    <w:rsid w:val="001916CA"/>
    <w:rsid w:val="001A1AD7"/>
    <w:rsid w:val="0024732A"/>
    <w:rsid w:val="0026103C"/>
    <w:rsid w:val="00265076"/>
    <w:rsid w:val="00295674"/>
    <w:rsid w:val="002A62F0"/>
    <w:rsid w:val="002B65AA"/>
    <w:rsid w:val="002C3350"/>
    <w:rsid w:val="00327624"/>
    <w:rsid w:val="003524D2"/>
    <w:rsid w:val="0035493F"/>
    <w:rsid w:val="0037604F"/>
    <w:rsid w:val="003936A6"/>
    <w:rsid w:val="00397D08"/>
    <w:rsid w:val="003E0D88"/>
    <w:rsid w:val="00483591"/>
    <w:rsid w:val="004923AD"/>
    <w:rsid w:val="004A3603"/>
    <w:rsid w:val="004B0D72"/>
    <w:rsid w:val="00507936"/>
    <w:rsid w:val="00556698"/>
    <w:rsid w:val="00562619"/>
    <w:rsid w:val="0058706F"/>
    <w:rsid w:val="005E28A9"/>
    <w:rsid w:val="00634C4E"/>
    <w:rsid w:val="00652E53"/>
    <w:rsid w:val="00657A97"/>
    <w:rsid w:val="007407EE"/>
    <w:rsid w:val="00747169"/>
    <w:rsid w:val="00761197"/>
    <w:rsid w:val="00764C15"/>
    <w:rsid w:val="00791454"/>
    <w:rsid w:val="007B110D"/>
    <w:rsid w:val="007C2DD9"/>
    <w:rsid w:val="007F2586"/>
    <w:rsid w:val="007F4514"/>
    <w:rsid w:val="00824226"/>
    <w:rsid w:val="00841107"/>
    <w:rsid w:val="00876CB5"/>
    <w:rsid w:val="008805B8"/>
    <w:rsid w:val="008F6955"/>
    <w:rsid w:val="009169F9"/>
    <w:rsid w:val="0093213F"/>
    <w:rsid w:val="0093605C"/>
    <w:rsid w:val="00951AD6"/>
    <w:rsid w:val="00965077"/>
    <w:rsid w:val="00966D0E"/>
    <w:rsid w:val="009A1687"/>
    <w:rsid w:val="009A3D17"/>
    <w:rsid w:val="009E01B8"/>
    <w:rsid w:val="009E3BD7"/>
    <w:rsid w:val="009F1CC6"/>
    <w:rsid w:val="00A261BF"/>
    <w:rsid w:val="00A608D0"/>
    <w:rsid w:val="00AB440B"/>
    <w:rsid w:val="00AC2129"/>
    <w:rsid w:val="00AD05F6"/>
    <w:rsid w:val="00AF1F99"/>
    <w:rsid w:val="00B04719"/>
    <w:rsid w:val="00B379D8"/>
    <w:rsid w:val="00B428CC"/>
    <w:rsid w:val="00B56445"/>
    <w:rsid w:val="00B63238"/>
    <w:rsid w:val="00B81ED6"/>
    <w:rsid w:val="00BB0BFF"/>
    <w:rsid w:val="00BC0DAF"/>
    <w:rsid w:val="00BD7045"/>
    <w:rsid w:val="00C464EC"/>
    <w:rsid w:val="00C72409"/>
    <w:rsid w:val="00C77574"/>
    <w:rsid w:val="00C9206A"/>
    <w:rsid w:val="00CC7D4C"/>
    <w:rsid w:val="00CF28B5"/>
    <w:rsid w:val="00D1271C"/>
    <w:rsid w:val="00D27105"/>
    <w:rsid w:val="00D55973"/>
    <w:rsid w:val="00D63B50"/>
    <w:rsid w:val="00D660EC"/>
    <w:rsid w:val="00D862BC"/>
    <w:rsid w:val="00DF40C0"/>
    <w:rsid w:val="00E00945"/>
    <w:rsid w:val="00E047D1"/>
    <w:rsid w:val="00E260E6"/>
    <w:rsid w:val="00E32363"/>
    <w:rsid w:val="00E847CC"/>
    <w:rsid w:val="00E901D7"/>
    <w:rsid w:val="00EA26F3"/>
    <w:rsid w:val="00EB1F5A"/>
    <w:rsid w:val="00F5541F"/>
    <w:rsid w:val="00FC5174"/>
    <w:rsid w:val="00FD1B4D"/>
    <w:rsid w:val="00FD6B30"/>
    <w:rsid w:val="00FF2A3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ress5-Body">
    <w:name w:val="Press 5 - Body"/>
    <w:basedOn w:val="Standard"/>
    <w:autoRedefine/>
    <w:qFormat/>
    <w:rsid w:val="00013F2D"/>
    <w:pPr>
      <w:suppressAutoHyphens/>
      <w:spacing w:after="360" w:line="360" w:lineRule="auto"/>
    </w:pPr>
    <w:rPr>
      <w:rFonts w:ascii="Arial" w:eastAsia="Times New Roman" w:hAnsi="Arial" w:cs="Times New Roman"/>
      <w:color w:val="000000"/>
      <w:szCs w:val="24"/>
      <w:lang w:eastAsia="de-DE"/>
    </w:rPr>
  </w:style>
  <w:style w:type="paragraph" w:customStyle="1" w:styleId="Press6-SubHeadline">
    <w:name w:val="Press 6 - Sub Headline"/>
    <w:basedOn w:val="Press5-Body"/>
    <w:next w:val="Press5-Body"/>
    <w:autoRedefine/>
    <w:qFormat/>
    <w:rsid w:val="004923AD"/>
    <w:pPr>
      <w:keepNext/>
      <w:spacing w:line="240" w:lineRule="auto"/>
      <w:outlineLvl w:val="1"/>
    </w:pPr>
    <w:rPr>
      <w:b/>
    </w:rPr>
  </w:style>
  <w:style w:type="character" w:styleId="Kommentarzeichen">
    <w:name w:val="annotation reference"/>
    <w:basedOn w:val="Absatz-Standardschriftart"/>
    <w:semiHidden/>
    <w:unhideWhenUsed/>
    <w:rsid w:val="007F4514"/>
    <w:rPr>
      <w:sz w:val="16"/>
      <w:szCs w:val="16"/>
    </w:rPr>
  </w:style>
  <w:style w:type="paragraph" w:styleId="Kommentartext">
    <w:name w:val="annotation text"/>
    <w:basedOn w:val="Standard"/>
    <w:link w:val="KommentartextZchn"/>
    <w:unhideWhenUsed/>
    <w:rsid w:val="007F4514"/>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7F451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8706F"/>
    <w:pPr>
      <w:spacing w:after="160"/>
    </w:pPr>
    <w:rPr>
      <w:rFonts w:asciiTheme="minorHAnsi" w:eastAsiaTheme="minorEastAsia" w:hAnsiTheme="minorHAnsi" w:cstheme="minorBidi"/>
      <w:b/>
      <w:bCs/>
      <w:lang w:eastAsia="zh-CN"/>
    </w:rPr>
  </w:style>
  <w:style w:type="character" w:customStyle="1" w:styleId="KommentarthemaZchn">
    <w:name w:val="Kommentarthema Zchn"/>
    <w:basedOn w:val="KommentartextZchn"/>
    <w:link w:val="Kommentarthema"/>
    <w:uiPriority w:val="99"/>
    <w:semiHidden/>
    <w:rsid w:val="0058706F"/>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5870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06F"/>
    <w:rPr>
      <w:rFonts w:ascii="Segoe UI" w:hAnsi="Segoe UI" w:cs="Segoe UI"/>
      <w:sz w:val="18"/>
      <w:szCs w:val="18"/>
    </w:rPr>
  </w:style>
  <w:style w:type="paragraph" w:customStyle="1" w:styleId="LHbase-type11ptbold">
    <w:name w:val="LH_base-type 11pt bold"/>
    <w:basedOn w:val="Standard"/>
    <w:qFormat/>
    <w:rsid w:val="009A1687"/>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0632">
      <w:bodyDiv w:val="1"/>
      <w:marLeft w:val="0"/>
      <w:marRight w:val="0"/>
      <w:marTop w:val="0"/>
      <w:marBottom w:val="0"/>
      <w:divBdr>
        <w:top w:val="none" w:sz="0" w:space="0" w:color="auto"/>
        <w:left w:val="none" w:sz="0" w:space="0" w:color="auto"/>
        <w:bottom w:val="none" w:sz="0" w:space="0" w:color="auto"/>
        <w:right w:val="none" w:sz="0" w:space="0" w:color="auto"/>
      </w:divBdr>
    </w:div>
    <w:div w:id="86756921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058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2022-10-10T00:00:00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8557AD-12E8-4B16-A762-C0D3ED81D0EC}">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D3B39E1-75D7-41B7-8050-9C1E620B3E4E}">
  <ds:schemaRefs>
    <ds:schemaRef ds:uri="http://schemas.microsoft.com/sharepoint/v3/contenttype/forms"/>
  </ds:schemaRefs>
</ds:datastoreItem>
</file>

<file path=customXml/itemProps4.xml><?xml version="1.0" encoding="utf-8"?>
<ds:datastoreItem xmlns:ds="http://schemas.openxmlformats.org/officeDocument/2006/customXml" ds:itemID="{8FA9515B-4FBC-44CF-8269-D4CC5064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D38B994-CCB8-44B4-8179-1934FFD1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10177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cp:lastPrinted>2022-10-13T08:08:00Z</cp:lastPrinted>
  <dcterms:created xsi:type="dcterms:W3CDTF">2022-10-13T07:51:00Z</dcterms:created>
  <dcterms:modified xsi:type="dcterms:W3CDTF">2022-10-13T08:08:00Z</dcterms:modified>
  <cp:category>Presseinformation</cp:category>
</cp:coreProperties>
</file>