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8E1B4" w14:textId="77777777" w:rsidR="00B81ED6" w:rsidRDefault="00B81ED6" w:rsidP="00033002">
      <w:pPr>
        <w:pStyle w:val="TitleLogotoprightLH"/>
        <w:framePr w:h="1021" w:hRule="exact" w:wrap="notBeside"/>
      </w:pPr>
    </w:p>
    <w:p w14:paraId="73676691" w14:textId="4B74DADB" w:rsidR="00B81ED6" w:rsidRPr="00EA26F3" w:rsidRDefault="00BC7A6F" w:rsidP="00EA26F3">
      <w:pPr>
        <w:pStyle w:val="Topline16"/>
      </w:pPr>
      <w:sdt>
        <w:sdtPr>
          <w:rPr>
            <w:rFonts w:cs="Arial"/>
            <w:szCs w:val="33"/>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szCs w:val="33"/>
            </w:rPr>
            <w:t>Communiqué de presse</w:t>
          </w:r>
        </w:sdtContent>
      </w:sdt>
    </w:p>
    <w:p w14:paraId="60D6C102" w14:textId="4F33CC6C" w:rsidR="00F026BA" w:rsidRPr="00B62425" w:rsidRDefault="00BC7A6F" w:rsidP="00AC2129">
      <w:pPr>
        <w:pStyle w:val="Titel"/>
        <w:spacing w:line="660" w:lineRule="exact"/>
        <w:rPr>
          <w:lang w:val="fr-FR"/>
        </w:rPr>
      </w:pPr>
      <w:sdt>
        <w:sdtPr>
          <w:rPr>
            <w:szCs w:val="32"/>
            <w:lang w:val="fr-FR"/>
          </w:rPr>
          <w:alias w:val="Title"/>
          <w:tag w:val=""/>
          <w:id w:val="1012880580"/>
          <w:placeholder>
            <w:docPart w:val="8FFACF0FF6B74D0AB72C7E22A553B99B"/>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B62425" w:rsidRPr="00B62425">
            <w:rPr>
              <w:szCs w:val="32"/>
              <w:lang w:val="fr-FR"/>
            </w:rPr>
            <w:t>Liebherr fournit les actionneurs électromécaniques de l’eVTOL d’Eve Air Mobility</w:t>
          </w:r>
        </w:sdtContent>
      </w:sdt>
    </w:p>
    <w:p w14:paraId="29B75F24" w14:textId="77777777" w:rsidR="00B81ED6" w:rsidRPr="002903B0" w:rsidRDefault="00B81ED6" w:rsidP="00B81ED6">
      <w:pPr>
        <w:pStyle w:val="HeadlineH233Pt"/>
        <w:spacing w:before="240" w:after="240" w:line="140" w:lineRule="exact"/>
        <w:rPr>
          <w:rFonts w:ascii="Tahoma" w:hAnsi="Tahoma" w:cs="Tahoma"/>
          <w:lang w:val="en-US"/>
        </w:rPr>
      </w:pPr>
      <w:r>
        <w:rPr>
          <w:rFonts w:ascii="Tahoma" w:hAnsi="Tahoma" w:cs="Tahoma"/>
          <w:bCs/>
          <w:lang w:val="fr-FR"/>
        </w:rPr>
        <w:t>⸺</w:t>
      </w:r>
    </w:p>
    <w:p w14:paraId="7AC9B3C1" w14:textId="56E93FD7" w:rsidR="007D4DDE" w:rsidRPr="002903B0" w:rsidRDefault="007D4DDE" w:rsidP="007D4DDE">
      <w:pPr>
        <w:pStyle w:val="StandardWeb"/>
        <w:spacing w:after="225"/>
        <w:rPr>
          <w:rFonts w:ascii="Arial" w:hAnsi="Arial" w:cstheme="minorBidi"/>
          <w:b/>
          <w:bCs/>
          <w:noProof/>
          <w:sz w:val="22"/>
          <w:szCs w:val="22"/>
          <w:lang w:val="en-US"/>
        </w:rPr>
      </w:pPr>
      <w:r>
        <w:rPr>
          <w:rFonts w:ascii="Arial" w:hAnsi="Arial" w:cstheme="minorBidi"/>
          <w:b/>
          <w:bCs/>
          <w:noProof/>
          <w:sz w:val="22"/>
          <w:szCs w:val="22"/>
          <w:lang w:val="fr-FR"/>
        </w:rPr>
        <w:t>Liebherr-Aerospace Lindenberg GmbH a signé un accord avec Eve Air Mobility pour la fourniture des actionneurs électromécaniques du système de commandes de vol de l'eVTOL. Dotés d’une électronique entièrement intégrée, ces actionneurs comptent parmi les premiers au monde à servir dans des systèmes de commandes de vol primaires.</w:t>
      </w:r>
    </w:p>
    <w:p w14:paraId="2701DE7D" w14:textId="1BBE782A" w:rsidR="00BC2C86" w:rsidRPr="002903B0" w:rsidRDefault="007D4DDE" w:rsidP="007D4DDE">
      <w:pPr>
        <w:pStyle w:val="StandardWeb"/>
        <w:spacing w:after="225"/>
        <w:rPr>
          <w:rFonts w:ascii="Arial" w:eastAsia="Calibri" w:hAnsi="Arial" w:cs="Arial"/>
          <w:sz w:val="22"/>
          <w:szCs w:val="22"/>
          <w:lang w:val="en-US"/>
        </w:rPr>
      </w:pPr>
      <w:r>
        <w:rPr>
          <w:rFonts w:ascii="Arial" w:hAnsi="Arial" w:cs="Arial"/>
          <w:sz w:val="22"/>
          <w:szCs w:val="22"/>
          <w:lang w:val="fr-FR"/>
        </w:rPr>
        <w:t xml:space="preserve">Lindenberg (Allemagne), </w:t>
      </w:r>
      <w:r w:rsidR="00B62425" w:rsidRPr="00B62425">
        <w:rPr>
          <w:rFonts w:ascii="Arial" w:hAnsi="Arial" w:cs="Arial"/>
          <w:sz w:val="22"/>
          <w:szCs w:val="22"/>
          <w:lang w:val="fr-FR"/>
        </w:rPr>
        <w:t>6 novembre</w:t>
      </w:r>
      <w:r w:rsidRPr="00B62425">
        <w:rPr>
          <w:rFonts w:ascii="Arial" w:hAnsi="Arial" w:cs="Arial"/>
          <w:sz w:val="22"/>
          <w:szCs w:val="22"/>
          <w:lang w:val="fr-FR"/>
        </w:rPr>
        <w:t xml:space="preserve"> 2023</w:t>
      </w:r>
      <w:r>
        <w:rPr>
          <w:rFonts w:ascii="Arial" w:hAnsi="Arial" w:cs="Arial"/>
          <w:sz w:val="22"/>
          <w:szCs w:val="22"/>
          <w:lang w:val="fr-FR"/>
        </w:rPr>
        <w:t xml:space="preserve"> – Les nouveaux actionneurs développés et fabriqués par Liebherr-Aerospace seront intégrés à l’eVTOL et assureront l’actionnement de son aileron, de ses gouvernes de profondeur et de direction. Robustes, légers et livrés avec un module électronique de commande et de puissance entièrement intégré, ces actionneurs sont plus compacts et plus faciles à installer que les produits concurrents.</w:t>
      </w:r>
    </w:p>
    <w:p w14:paraId="0DC12021" w14:textId="51378274" w:rsidR="007D4DDE" w:rsidRPr="002903B0" w:rsidRDefault="007D4DDE" w:rsidP="007D4DDE">
      <w:pPr>
        <w:pStyle w:val="StandardWeb"/>
        <w:spacing w:after="225"/>
        <w:rPr>
          <w:rFonts w:ascii="Arial" w:eastAsia="Calibri" w:hAnsi="Arial" w:cs="Arial"/>
          <w:sz w:val="22"/>
          <w:szCs w:val="22"/>
          <w:lang w:val="en-US"/>
        </w:rPr>
      </w:pPr>
      <w:r>
        <w:rPr>
          <w:rFonts w:ascii="Arial" w:eastAsia="Calibri" w:hAnsi="Arial" w:cs="Arial"/>
          <w:sz w:val="22"/>
          <w:szCs w:val="22"/>
          <w:lang w:val="fr-FR"/>
        </w:rPr>
        <w:t>« </w:t>
      </w:r>
      <w:r w:rsidR="00273340">
        <w:rPr>
          <w:rFonts w:ascii="Arial" w:eastAsia="Calibri" w:hAnsi="Arial" w:cs="Arial"/>
          <w:sz w:val="22"/>
          <w:szCs w:val="22"/>
          <w:lang w:val="fr-FR"/>
        </w:rPr>
        <w:t xml:space="preserve">En tant que partenaire de longue date d’Embraer, pilier essentiel de l’ingénierie d’Eve, nous avons collaboré avec succès sur de nombreux projets de développement. Liebherr témoigne d’une grande confiance dans la capacité d’Eve à concevoir, certifier et produire un eVTOL révolutionnaire. </w:t>
      </w:r>
      <w:r>
        <w:rPr>
          <w:rFonts w:ascii="Arial" w:eastAsia="Calibri" w:hAnsi="Arial" w:cs="Arial"/>
          <w:sz w:val="22"/>
          <w:szCs w:val="22"/>
          <w:lang w:val="fr-FR"/>
        </w:rPr>
        <w:t xml:space="preserve">Ce contrat marque une étape historique et le début d’une nouvelle relation avec Eve Air Mobility. Il montre notre engagement continu en termes d’excellence envers nos clients. </w:t>
      </w:r>
      <w:r w:rsidR="00273340" w:rsidRPr="00273340">
        <w:rPr>
          <w:rFonts w:ascii="Arial" w:eastAsia="Calibri" w:hAnsi="Arial" w:cs="Arial"/>
          <w:sz w:val="22"/>
          <w:szCs w:val="22"/>
          <w:lang w:val="fr-FR"/>
        </w:rPr>
        <w:t>Dès les premières phases de développement, nous avons pris en considération les besoins d'Eve en matière d'actionneurs, et nous avons continuellement répondu à ces besoins tout au long de la recherche et du développement.</w:t>
      </w:r>
      <w:r>
        <w:rPr>
          <w:rFonts w:ascii="Arial" w:eastAsia="Calibri" w:hAnsi="Arial" w:cs="Arial"/>
          <w:sz w:val="22"/>
          <w:szCs w:val="22"/>
          <w:lang w:val="fr-FR"/>
        </w:rPr>
        <w:t xml:space="preserve"> Notre technologie électrique, en particulier nos actionneurs </w:t>
      </w:r>
      <w:r w:rsidR="00273340">
        <w:rPr>
          <w:rFonts w:ascii="Arial" w:eastAsia="Calibri" w:hAnsi="Arial" w:cs="Arial"/>
          <w:sz w:val="22"/>
          <w:szCs w:val="22"/>
          <w:lang w:val="fr-FR"/>
        </w:rPr>
        <w:t>fly-by-wire</w:t>
      </w:r>
      <w:r>
        <w:rPr>
          <w:rFonts w:ascii="Arial" w:eastAsia="Calibri" w:hAnsi="Arial" w:cs="Arial"/>
          <w:sz w:val="22"/>
          <w:szCs w:val="22"/>
          <w:lang w:val="fr-FR"/>
        </w:rPr>
        <w:t xml:space="preserve">, </w:t>
      </w:r>
      <w:r w:rsidR="00273340">
        <w:rPr>
          <w:rFonts w:ascii="Arial" w:eastAsia="Calibri" w:hAnsi="Arial" w:cs="Arial"/>
          <w:sz w:val="22"/>
          <w:szCs w:val="22"/>
          <w:lang w:val="fr-FR"/>
        </w:rPr>
        <w:t>renforce</w:t>
      </w:r>
      <w:r>
        <w:rPr>
          <w:rFonts w:ascii="Arial" w:eastAsia="Calibri" w:hAnsi="Arial" w:cs="Arial"/>
          <w:sz w:val="22"/>
          <w:szCs w:val="22"/>
          <w:lang w:val="fr-FR"/>
        </w:rPr>
        <w:t xml:space="preserve"> la maintenabilité, la fiabilité et la </w:t>
      </w:r>
      <w:r w:rsidR="00273340">
        <w:rPr>
          <w:rFonts w:ascii="Arial" w:eastAsia="Calibri" w:hAnsi="Arial" w:cs="Arial"/>
          <w:sz w:val="22"/>
          <w:szCs w:val="22"/>
          <w:lang w:val="fr-FR"/>
        </w:rPr>
        <w:t>manœuvrabilité</w:t>
      </w:r>
      <w:r>
        <w:rPr>
          <w:rFonts w:ascii="Arial" w:eastAsia="Calibri" w:hAnsi="Arial" w:cs="Arial"/>
          <w:sz w:val="22"/>
          <w:szCs w:val="22"/>
          <w:lang w:val="fr-FR"/>
        </w:rPr>
        <w:t xml:space="preserve"> des </w:t>
      </w:r>
      <w:r w:rsidR="00273340">
        <w:rPr>
          <w:rFonts w:ascii="Arial" w:eastAsia="Calibri" w:hAnsi="Arial" w:cs="Arial"/>
          <w:sz w:val="22"/>
          <w:szCs w:val="22"/>
          <w:lang w:val="fr-FR"/>
        </w:rPr>
        <w:t xml:space="preserve">futurs </w:t>
      </w:r>
      <w:r>
        <w:rPr>
          <w:rFonts w:ascii="Arial" w:eastAsia="Calibri" w:hAnsi="Arial" w:cs="Arial"/>
          <w:sz w:val="22"/>
          <w:szCs w:val="22"/>
          <w:lang w:val="fr-FR"/>
        </w:rPr>
        <w:t xml:space="preserve">aéronefs », explique Klaus Schneider, directeur technique de Liebherr-Aerospace &amp; Transportation SAS. </w:t>
      </w:r>
    </w:p>
    <w:p w14:paraId="44FA46BD" w14:textId="15E6B275" w:rsidR="00B9240D" w:rsidRPr="002903B0" w:rsidRDefault="00EC67DD" w:rsidP="007D4DDE">
      <w:pPr>
        <w:pStyle w:val="StandardWeb"/>
        <w:spacing w:after="225"/>
        <w:rPr>
          <w:rFonts w:ascii="Arial" w:eastAsia="Calibri" w:hAnsi="Arial" w:cs="Arial"/>
          <w:sz w:val="22"/>
          <w:szCs w:val="22"/>
          <w:lang w:val="en-US"/>
        </w:rPr>
      </w:pPr>
      <w:r>
        <w:rPr>
          <w:rFonts w:ascii="Arial" w:eastAsia="Calibri" w:hAnsi="Arial" w:cs="Arial"/>
          <w:sz w:val="22"/>
          <w:szCs w:val="22"/>
          <w:lang w:val="fr-FR"/>
        </w:rPr>
        <w:t xml:space="preserve">Eve a déjà reçu des commandes pour près de 3000 véhicules et </w:t>
      </w:r>
      <w:r w:rsidR="00EA6640">
        <w:rPr>
          <w:rFonts w:ascii="Arial" w:eastAsia="Calibri" w:hAnsi="Arial" w:cs="Arial"/>
          <w:sz w:val="22"/>
          <w:szCs w:val="22"/>
          <w:lang w:val="fr-FR"/>
        </w:rPr>
        <w:t>collabore activement</w:t>
      </w:r>
      <w:r>
        <w:rPr>
          <w:rFonts w:ascii="Arial" w:eastAsia="Calibri" w:hAnsi="Arial" w:cs="Arial"/>
          <w:sz w:val="22"/>
          <w:szCs w:val="22"/>
          <w:lang w:val="fr-FR"/>
        </w:rPr>
        <w:t xml:space="preserve"> avec </w:t>
      </w:r>
      <w:r w:rsidR="00EA6640">
        <w:rPr>
          <w:rFonts w:ascii="Arial" w:eastAsia="Calibri" w:hAnsi="Arial" w:cs="Arial"/>
          <w:sz w:val="22"/>
          <w:szCs w:val="22"/>
          <w:lang w:val="fr-FR"/>
        </w:rPr>
        <w:t>divers</w:t>
      </w:r>
      <w:r>
        <w:rPr>
          <w:rFonts w:ascii="Arial" w:eastAsia="Calibri" w:hAnsi="Arial" w:cs="Arial"/>
          <w:sz w:val="22"/>
          <w:szCs w:val="22"/>
          <w:lang w:val="fr-FR"/>
        </w:rPr>
        <w:t xml:space="preserve"> opérateurs, </w:t>
      </w:r>
      <w:r w:rsidR="00EA6640">
        <w:rPr>
          <w:rFonts w:ascii="Arial" w:eastAsia="Calibri" w:hAnsi="Arial" w:cs="Arial"/>
          <w:sz w:val="22"/>
          <w:szCs w:val="22"/>
          <w:lang w:val="fr-FR"/>
        </w:rPr>
        <w:t>entreprises</w:t>
      </w:r>
      <w:r>
        <w:rPr>
          <w:rFonts w:ascii="Arial" w:eastAsia="Calibri" w:hAnsi="Arial" w:cs="Arial"/>
          <w:sz w:val="22"/>
          <w:szCs w:val="22"/>
          <w:lang w:val="fr-FR"/>
        </w:rPr>
        <w:t xml:space="preserve"> d’infrastructures et agences gouvernementales </w:t>
      </w:r>
      <w:r w:rsidR="00EA6640">
        <w:rPr>
          <w:rFonts w:ascii="Arial" w:eastAsia="Calibri" w:hAnsi="Arial" w:cs="Arial"/>
          <w:sz w:val="22"/>
          <w:szCs w:val="22"/>
          <w:lang w:val="fr-FR"/>
        </w:rPr>
        <w:t xml:space="preserve">pour établir </w:t>
      </w:r>
      <w:r>
        <w:rPr>
          <w:rFonts w:ascii="Arial" w:eastAsia="Calibri" w:hAnsi="Arial" w:cs="Arial"/>
          <w:sz w:val="22"/>
          <w:szCs w:val="22"/>
          <w:lang w:val="fr-FR"/>
        </w:rPr>
        <w:t xml:space="preserve">un environnement opérationnel </w:t>
      </w:r>
      <w:r w:rsidR="00EA6640">
        <w:rPr>
          <w:rFonts w:ascii="Arial" w:eastAsia="Calibri" w:hAnsi="Arial" w:cs="Arial"/>
          <w:sz w:val="22"/>
          <w:szCs w:val="22"/>
          <w:lang w:val="fr-FR"/>
        </w:rPr>
        <w:t>favorable</w:t>
      </w:r>
      <w:r>
        <w:rPr>
          <w:rFonts w:ascii="Arial" w:eastAsia="Calibri" w:hAnsi="Arial" w:cs="Arial"/>
          <w:sz w:val="22"/>
          <w:szCs w:val="22"/>
          <w:lang w:val="fr-FR"/>
        </w:rPr>
        <w:t xml:space="preserve"> à la mobilité aérienne urbaine.</w:t>
      </w:r>
    </w:p>
    <w:p w14:paraId="507895B4" w14:textId="13108D9D" w:rsidR="007D4DDE" w:rsidRDefault="007D4DDE" w:rsidP="007D4DDE">
      <w:pPr>
        <w:pStyle w:val="StandardWeb"/>
        <w:spacing w:after="225"/>
        <w:rPr>
          <w:rFonts w:ascii="Arial" w:eastAsia="Calibri" w:hAnsi="Arial" w:cs="Arial"/>
          <w:sz w:val="22"/>
          <w:szCs w:val="22"/>
          <w:lang w:val="fr-FR"/>
        </w:rPr>
      </w:pPr>
      <w:r>
        <w:rPr>
          <w:rFonts w:ascii="Arial" w:eastAsia="Calibri" w:hAnsi="Arial" w:cs="Arial"/>
          <w:sz w:val="22"/>
          <w:szCs w:val="22"/>
          <w:lang w:val="fr-FR"/>
        </w:rPr>
        <w:t>En étroite coopération avec Liebherr-Electronics and Drives GmbH, Lindau (Allemagne) ainsi qu’avec l’équipe de Liebherr-Aerospace dans deux sites au Brésil, São José dos Campos et Gavião Peixoto, Liebherr-Aerospace Lindenberg GmbH (Allemagne), le centre d’excellence de Liebherr pour les commandes de vol, les actionneurs, les engrenages, les boîtes de transmission et les trains d’atterrissage</w:t>
      </w:r>
      <w:r w:rsidR="00EA6640">
        <w:rPr>
          <w:rFonts w:ascii="Arial" w:eastAsia="Calibri" w:hAnsi="Arial" w:cs="Arial"/>
          <w:sz w:val="22"/>
          <w:szCs w:val="22"/>
          <w:lang w:val="fr-FR"/>
        </w:rPr>
        <w:t>,</w:t>
      </w:r>
      <w:r>
        <w:rPr>
          <w:rFonts w:ascii="Arial" w:eastAsia="Calibri" w:hAnsi="Arial" w:cs="Arial"/>
          <w:sz w:val="22"/>
          <w:szCs w:val="22"/>
          <w:lang w:val="fr-FR"/>
        </w:rPr>
        <w:t xml:space="preserve"> se chargera du développement et de la fabrication des unités.</w:t>
      </w:r>
    </w:p>
    <w:p w14:paraId="5D3CCD38" w14:textId="77777777" w:rsidR="002903B0" w:rsidRDefault="002903B0" w:rsidP="007D4DDE">
      <w:pPr>
        <w:pStyle w:val="StandardWeb"/>
        <w:spacing w:after="225"/>
        <w:rPr>
          <w:rFonts w:ascii="Arial" w:eastAsia="Calibri" w:hAnsi="Arial" w:cs="Arial"/>
          <w:sz w:val="22"/>
          <w:szCs w:val="22"/>
          <w:lang w:val="fr-FR"/>
        </w:rPr>
      </w:pPr>
    </w:p>
    <w:p w14:paraId="22891F1C" w14:textId="77777777" w:rsidR="002903B0" w:rsidRDefault="002903B0" w:rsidP="007D4DDE">
      <w:pPr>
        <w:pStyle w:val="StandardWeb"/>
        <w:spacing w:after="225"/>
        <w:rPr>
          <w:rFonts w:ascii="Arial" w:eastAsia="Calibri" w:hAnsi="Arial" w:cs="Arial"/>
          <w:sz w:val="22"/>
          <w:szCs w:val="22"/>
          <w:lang w:val="fr-FR"/>
        </w:rPr>
      </w:pPr>
    </w:p>
    <w:p w14:paraId="1223FF5B" w14:textId="77777777" w:rsidR="002903B0" w:rsidRDefault="002903B0" w:rsidP="007D4DDE">
      <w:pPr>
        <w:pStyle w:val="StandardWeb"/>
        <w:spacing w:after="225"/>
        <w:rPr>
          <w:rFonts w:ascii="Arial" w:eastAsia="Calibri" w:hAnsi="Arial" w:cs="Arial"/>
          <w:sz w:val="22"/>
          <w:szCs w:val="22"/>
          <w:lang w:val="fr-FR"/>
        </w:rPr>
      </w:pPr>
    </w:p>
    <w:p w14:paraId="7BBA1D73" w14:textId="77777777" w:rsidR="002903B0" w:rsidRPr="007D4DDE" w:rsidRDefault="002903B0" w:rsidP="007D4DDE">
      <w:pPr>
        <w:pStyle w:val="StandardWeb"/>
        <w:spacing w:after="225"/>
        <w:rPr>
          <w:rFonts w:ascii="Arial" w:eastAsia="Calibri" w:hAnsi="Arial" w:cs="Arial"/>
          <w:sz w:val="22"/>
          <w:szCs w:val="22"/>
        </w:rPr>
      </w:pPr>
    </w:p>
    <w:p w14:paraId="4CFED47A" w14:textId="77777777" w:rsidR="00AC05C5" w:rsidRDefault="00AC05C5" w:rsidP="007D4DDE">
      <w:pPr>
        <w:pStyle w:val="StandardWeb"/>
        <w:spacing w:after="225"/>
        <w:rPr>
          <w:rFonts w:ascii="Arial" w:eastAsia="Calibri" w:hAnsi="Arial" w:cs="Arial"/>
          <w:sz w:val="22"/>
          <w:szCs w:val="22"/>
        </w:rPr>
      </w:pPr>
    </w:p>
    <w:p w14:paraId="28C3D1E2" w14:textId="77777777" w:rsidR="00AC05C5" w:rsidRPr="002903B0" w:rsidRDefault="00AC05C5" w:rsidP="00AC05C5">
      <w:pPr>
        <w:pBdr>
          <w:top w:val="nil"/>
          <w:left w:val="nil"/>
          <w:bottom w:val="nil"/>
          <w:right w:val="nil"/>
          <w:between w:val="nil"/>
        </w:pBdr>
        <w:spacing w:after="240" w:line="240" w:lineRule="auto"/>
        <w:rPr>
          <w:rFonts w:ascii="Arial" w:eastAsia="Arial" w:hAnsi="Arial" w:cs="Arial"/>
          <w:b/>
          <w:color w:val="000000"/>
          <w:sz w:val="18"/>
          <w:szCs w:val="18"/>
          <w:lang w:val="en-US"/>
        </w:rPr>
      </w:pPr>
      <w:r>
        <w:rPr>
          <w:rFonts w:ascii="Arial" w:eastAsia="Arial" w:hAnsi="Arial" w:cs="Arial"/>
          <w:b/>
          <w:bCs/>
          <w:color w:val="000000"/>
          <w:sz w:val="18"/>
          <w:szCs w:val="18"/>
          <w:lang w:val="fr-FR"/>
        </w:rPr>
        <w:t>À propos de Liebherr-Aerospace &amp; Transportation</w:t>
      </w:r>
    </w:p>
    <w:p w14:paraId="7B57919B" w14:textId="77777777" w:rsidR="00AC05C5" w:rsidRPr="002903B0" w:rsidRDefault="00AC05C5" w:rsidP="00AC05C5">
      <w:pPr>
        <w:pBdr>
          <w:top w:val="nil"/>
          <w:left w:val="nil"/>
          <w:bottom w:val="nil"/>
          <w:right w:val="nil"/>
          <w:between w:val="nil"/>
        </w:pBdr>
        <w:spacing w:after="240" w:line="276" w:lineRule="auto"/>
        <w:rPr>
          <w:rFonts w:ascii="Arial" w:eastAsia="Arial" w:hAnsi="Arial" w:cs="Arial"/>
          <w:color w:val="000000"/>
          <w:sz w:val="18"/>
          <w:szCs w:val="18"/>
          <w:lang w:val="en-US"/>
        </w:rPr>
      </w:pPr>
      <w:r>
        <w:rPr>
          <w:rFonts w:ascii="Arial" w:eastAsia="Arial" w:hAnsi="Arial" w:cs="Arial"/>
          <w:color w:val="000000"/>
          <w:sz w:val="18"/>
          <w:szCs w:val="18"/>
          <w:lang w:val="fr-FR"/>
        </w:rPr>
        <w:t xml:space="preserve">Liebherr-Aerospace &amp; Transportation SAS, Toulouse (France) est l’une des onze Holdings de branche du Groupe Liebherr. Elle dirige et coordonne l’ensemble des activités aéronautiques et ferroviaires du Groupe. </w:t>
      </w:r>
    </w:p>
    <w:p w14:paraId="5FF6BD36" w14:textId="7B65AA19" w:rsidR="00DC7A58" w:rsidRPr="002903B0" w:rsidRDefault="00AC05C5" w:rsidP="00AC05C5">
      <w:pPr>
        <w:pBdr>
          <w:top w:val="nil"/>
          <w:left w:val="nil"/>
          <w:bottom w:val="nil"/>
          <w:right w:val="nil"/>
          <w:between w:val="nil"/>
        </w:pBdr>
        <w:spacing w:after="240" w:line="276" w:lineRule="auto"/>
        <w:rPr>
          <w:rFonts w:ascii="Arial" w:eastAsia="Arial" w:hAnsi="Arial" w:cs="Arial"/>
          <w:color w:val="000000"/>
          <w:sz w:val="18"/>
          <w:szCs w:val="18"/>
          <w:lang w:val="en-US"/>
        </w:rPr>
      </w:pPr>
      <w:r>
        <w:rPr>
          <w:rFonts w:ascii="Arial" w:eastAsia="Arial" w:hAnsi="Arial" w:cs="Arial"/>
          <w:color w:val="000000"/>
          <w:sz w:val="18"/>
          <w:szCs w:val="18"/>
          <w:lang w:val="fr-FR"/>
        </w:rPr>
        <w:t>Avec plus de soixante ans d’expérience, Liebherr-Aerospace est un fournisseur majeur de systèmes pour l’industrie aéronautique. Ses produits pour les applications civiles et militaires couvrent les actionneurs et les systèmes de commande de vol, les boites de transmission, les trains d’atterrissage et les systèmes d’air, ainsi que l’électronique. Ses systèmes équipent des avions commerciaux, de transport régional et d’affaires, des avions de combat, de transport et d’entraînement militaires, ainsi que des hélicoptères civils et militaires.</w:t>
      </w:r>
    </w:p>
    <w:p w14:paraId="16C5E141" w14:textId="40AD446A" w:rsidR="00AC05C5" w:rsidRPr="002903B0" w:rsidRDefault="00AC05C5" w:rsidP="00AC05C5">
      <w:pPr>
        <w:pBdr>
          <w:top w:val="nil"/>
          <w:left w:val="nil"/>
          <w:bottom w:val="nil"/>
          <w:right w:val="nil"/>
          <w:between w:val="nil"/>
        </w:pBdr>
        <w:spacing w:after="240" w:line="276" w:lineRule="auto"/>
        <w:rPr>
          <w:rFonts w:ascii="Arial" w:eastAsia="Arial" w:hAnsi="Arial" w:cs="Arial"/>
          <w:color w:val="000000"/>
          <w:sz w:val="18"/>
          <w:szCs w:val="18"/>
          <w:lang w:val="en-US"/>
        </w:rPr>
      </w:pPr>
      <w:r>
        <w:rPr>
          <w:rFonts w:ascii="Arial" w:eastAsia="Arial" w:hAnsi="Arial" w:cs="Arial"/>
          <w:color w:val="000000"/>
          <w:sz w:val="18"/>
          <w:szCs w:val="18"/>
          <w:lang w:val="fr-FR"/>
        </w:rPr>
        <w:t>La division Aéronautique et Ferroviaire du Groupe Liebherr emploie environ 6000 salariés. Ses trois sites de production de systèmes et équipements aéronautiques sont situés à Lindenberg (Allemagne), Toulouse (France) et Guaratinguetá (Brésil). Liebherr-Aerospace réalise également ses prestations de service clients à partir de ses implantations situées à Saline, Michigan (USA), Seattle, Washington (USA), Laval (Canada), Hambourg (Allemagne), Dubaï (Émirats Arabes Unis), Bangalore (Inde), Singapour et Shanghai (République populaire de Chine).</w:t>
      </w:r>
    </w:p>
    <w:p w14:paraId="405F3642" w14:textId="77777777" w:rsidR="00AC05C5" w:rsidRPr="002903B0" w:rsidRDefault="00AC05C5" w:rsidP="00AC05C5">
      <w:pPr>
        <w:pBdr>
          <w:top w:val="nil"/>
          <w:left w:val="nil"/>
          <w:bottom w:val="nil"/>
          <w:right w:val="nil"/>
          <w:between w:val="nil"/>
        </w:pBdr>
        <w:spacing w:after="240" w:line="240" w:lineRule="auto"/>
        <w:rPr>
          <w:rFonts w:ascii="Arial" w:eastAsia="Arial" w:hAnsi="Arial" w:cs="Arial"/>
          <w:b/>
          <w:color w:val="000000"/>
          <w:sz w:val="18"/>
          <w:szCs w:val="18"/>
          <w:lang w:val="en-US"/>
        </w:rPr>
      </w:pPr>
      <w:r>
        <w:rPr>
          <w:rFonts w:ascii="Arial" w:eastAsia="Arial" w:hAnsi="Arial" w:cs="Arial"/>
          <w:b/>
          <w:bCs/>
          <w:color w:val="000000"/>
          <w:sz w:val="18"/>
          <w:szCs w:val="18"/>
          <w:lang w:val="fr-FR"/>
        </w:rPr>
        <w:t>À propos du Groupe Liebherr</w:t>
      </w:r>
    </w:p>
    <w:p w14:paraId="1FB14BEF" w14:textId="77777777" w:rsidR="00AC05C5" w:rsidRPr="002903B0" w:rsidRDefault="00AC05C5" w:rsidP="00AC05C5">
      <w:pPr>
        <w:pBdr>
          <w:top w:val="nil"/>
          <w:left w:val="nil"/>
          <w:bottom w:val="nil"/>
          <w:right w:val="nil"/>
          <w:between w:val="nil"/>
        </w:pBdr>
        <w:spacing w:after="240" w:line="276" w:lineRule="auto"/>
        <w:rPr>
          <w:rFonts w:ascii="Arial" w:eastAsia="Arial" w:hAnsi="Arial" w:cs="Arial"/>
          <w:color w:val="000000"/>
          <w:sz w:val="18"/>
          <w:szCs w:val="18"/>
          <w:lang w:val="en-US"/>
        </w:rPr>
      </w:pPr>
      <w:r>
        <w:rPr>
          <w:rFonts w:ascii="Arial" w:eastAsia="Arial" w:hAnsi="Arial" w:cs="Arial"/>
          <w:color w:val="000000"/>
          <w:sz w:val="18"/>
          <w:szCs w:val="18"/>
          <w:lang w:val="fr-FR"/>
        </w:rPr>
        <w:t>Le Groupe Liebherr est une entreprise technologique familiale proposant une gamme de produits très diversifiée. L’entreprise figure parmi les plus grands fabricants mondiaux d’engins de construction. Elle offre également dans de nombreux autres domaines des produits et services haut de gamme axés sur les besoins des utilisateurs. Le Groupe compte aujourd'hui plus de 140 sociétés sur tous les continents. En 2022, il a employé près de 51 000 personnes et a enregistré un chiffre d'affaires consolidé de plus de 12,5 milliards d'euros. Liebherr a été fondé en 1949 à Kirchdorf an der Iller, dans le sud de l'Allemagne. Depuis, les employés ont pour objectif de convaincre leurs clients par des solutions exigeantes tout en contribuant au progrès technique.</w:t>
      </w:r>
    </w:p>
    <w:p w14:paraId="6FBACE03" w14:textId="77777777" w:rsidR="00AC05C5" w:rsidRPr="002903B0" w:rsidRDefault="00AC05C5" w:rsidP="00AC05C5">
      <w:pPr>
        <w:pBdr>
          <w:top w:val="nil"/>
          <w:left w:val="nil"/>
          <w:bottom w:val="nil"/>
          <w:right w:val="nil"/>
          <w:between w:val="nil"/>
        </w:pBdr>
        <w:spacing w:after="240" w:line="276" w:lineRule="auto"/>
        <w:rPr>
          <w:rFonts w:ascii="Arial" w:eastAsia="Arial" w:hAnsi="Arial" w:cs="Arial"/>
          <w:color w:val="000000"/>
          <w:sz w:val="18"/>
          <w:szCs w:val="18"/>
          <w:lang w:val="en-US"/>
        </w:rPr>
      </w:pPr>
    </w:p>
    <w:p w14:paraId="0667ADFA" w14:textId="046A4B03" w:rsidR="000124F2" w:rsidRDefault="00AC05C5" w:rsidP="007D4DDE">
      <w:pPr>
        <w:pStyle w:val="StandardWeb"/>
        <w:spacing w:after="225"/>
        <w:rPr>
          <w:rFonts w:ascii="Arial" w:eastAsia="Calibri" w:hAnsi="Arial" w:cs="Arial"/>
          <w:b/>
          <w:bCs/>
          <w:sz w:val="22"/>
          <w:szCs w:val="22"/>
          <w:lang w:val="en-US"/>
        </w:rPr>
      </w:pPr>
      <w:r w:rsidRPr="00B86BAF">
        <w:rPr>
          <w:rFonts w:ascii="Arial" w:eastAsia="Calibri" w:hAnsi="Arial" w:cs="Arial"/>
          <w:b/>
          <w:bCs/>
          <w:sz w:val="22"/>
          <w:szCs w:val="22"/>
          <w:lang w:val="en-US"/>
        </w:rPr>
        <w:t>Image</w:t>
      </w:r>
      <w:r w:rsidR="000124F2">
        <w:rPr>
          <w:rFonts w:ascii="Arial" w:eastAsia="Calibri" w:hAnsi="Arial" w:cs="Arial"/>
          <w:b/>
          <w:bCs/>
          <w:sz w:val="22"/>
          <w:szCs w:val="22"/>
          <w:lang w:val="en-US"/>
        </w:rPr>
        <w:t>s</w:t>
      </w:r>
    </w:p>
    <w:p w14:paraId="4ED7433C" w14:textId="77777777" w:rsidR="000124F2" w:rsidRPr="00BD5DFC" w:rsidRDefault="000124F2" w:rsidP="000124F2">
      <w:pPr>
        <w:pStyle w:val="StandardWeb"/>
        <w:spacing w:after="225"/>
        <w:rPr>
          <w:rFonts w:ascii="Arial" w:eastAsia="Calibri" w:hAnsi="Arial" w:cs="Arial"/>
          <w:bCs/>
          <w:sz w:val="18"/>
          <w:szCs w:val="18"/>
          <w:lang w:val="en-US" w:eastAsia="de-DE"/>
        </w:rPr>
      </w:pPr>
      <w:r w:rsidRPr="001E5740">
        <w:rPr>
          <w:rFonts w:ascii="Arial" w:eastAsia="Calibri" w:hAnsi="Arial" w:cs="Arial"/>
          <w:b/>
          <w:noProof/>
          <w:sz w:val="22"/>
          <w:szCs w:val="22"/>
          <w:lang w:val="fr-FR" w:eastAsia="fr-FR"/>
        </w:rPr>
        <w:drawing>
          <wp:inline distT="0" distB="0" distL="0" distR="0" wp14:anchorId="5E6D56C0" wp14:editId="23A5F3EC">
            <wp:extent cx="1974850" cy="1542669"/>
            <wp:effectExtent l="0" t="0" r="6350" b="635"/>
            <wp:docPr id="195485954" name="Grafik 1" descr="Ein Bild, das Kleidung, Person, Anzu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5954" name="Grafik 1" descr="Ein Bild, das Kleidung, Person, Anzug, Schuhwerk enthält.&#10;&#10;Automatisch generierte Beschreibung"/>
                    <pic:cNvPicPr/>
                  </pic:nvPicPr>
                  <pic:blipFill>
                    <a:blip r:embed="rId8"/>
                    <a:stretch>
                      <a:fillRect/>
                    </a:stretch>
                  </pic:blipFill>
                  <pic:spPr>
                    <a:xfrm>
                      <a:off x="0" y="0"/>
                      <a:ext cx="1986615" cy="1551860"/>
                    </a:xfrm>
                    <a:prstGeom prst="rect">
                      <a:avLst/>
                    </a:prstGeom>
                  </pic:spPr>
                </pic:pic>
              </a:graphicData>
            </a:graphic>
          </wp:inline>
        </w:drawing>
      </w:r>
      <w:r>
        <w:rPr>
          <w:rFonts w:ascii="Arial" w:eastAsia="Calibri" w:hAnsi="Arial" w:cs="Arial"/>
          <w:b/>
          <w:sz w:val="22"/>
          <w:szCs w:val="22"/>
          <w:lang w:val="en-US" w:eastAsia="de-DE"/>
        </w:rPr>
        <w:br/>
      </w:r>
      <w:r w:rsidRPr="00BD5DFC">
        <w:rPr>
          <w:rFonts w:ascii="Arial" w:eastAsia="Calibri" w:hAnsi="Arial" w:cs="Arial"/>
          <w:bCs/>
          <w:sz w:val="18"/>
          <w:szCs w:val="18"/>
          <w:lang w:val="en-US" w:eastAsia="de-DE"/>
        </w:rPr>
        <w:t>liebherr-eve-evtol-contract-signature-ceremony-copyright-liebherr.jpg</w:t>
      </w:r>
    </w:p>
    <w:p w14:paraId="333B3D19" w14:textId="6E6491A6" w:rsidR="000124F2" w:rsidRPr="00BD5DFC" w:rsidRDefault="000124F2" w:rsidP="000124F2">
      <w:pPr>
        <w:spacing w:after="0" w:line="240" w:lineRule="auto"/>
        <w:rPr>
          <w:rFonts w:ascii="Arial" w:eastAsia="Times New Roman" w:hAnsi="Arial" w:cs="Arial"/>
          <w:sz w:val="18"/>
          <w:szCs w:val="18"/>
          <w:lang w:val="en-GB" w:eastAsia="en-US"/>
        </w:rPr>
      </w:pPr>
      <w:r w:rsidRPr="00BD5DFC">
        <w:rPr>
          <w:rFonts w:ascii="Arial" w:eastAsia="Times New Roman" w:hAnsi="Arial" w:cs="Arial"/>
          <w:sz w:val="18"/>
          <w:szCs w:val="18"/>
          <w:lang w:val="en-GB" w:eastAsia="en-US"/>
        </w:rPr>
        <w:t>Luiz Valentini, CTO EVE (2</w:t>
      </w:r>
      <w:r>
        <w:rPr>
          <w:rFonts w:ascii="Arial" w:eastAsia="Times New Roman" w:hAnsi="Arial" w:cs="Arial"/>
          <w:sz w:val="18"/>
          <w:szCs w:val="18"/>
          <w:vertAlign w:val="superscript"/>
          <w:lang w:val="en-GB" w:eastAsia="en-US"/>
        </w:rPr>
        <w:t>e</w:t>
      </w:r>
      <w:r w:rsidRPr="00BD5DFC">
        <w:rPr>
          <w:rFonts w:ascii="Arial" w:eastAsia="Times New Roman" w:hAnsi="Arial" w:cs="Arial"/>
          <w:sz w:val="18"/>
          <w:szCs w:val="18"/>
          <w:lang w:val="en-GB" w:eastAsia="en-US"/>
        </w:rPr>
        <w:t xml:space="preserve"> </w:t>
      </w:r>
      <w:r>
        <w:rPr>
          <w:rFonts w:ascii="Arial" w:eastAsia="Times New Roman" w:hAnsi="Arial" w:cs="Arial"/>
          <w:sz w:val="18"/>
          <w:szCs w:val="18"/>
          <w:lang w:val="en-GB" w:eastAsia="en-US"/>
        </w:rPr>
        <w:t>partant de la droite</w:t>
      </w:r>
      <w:r w:rsidRPr="00BD5DFC">
        <w:rPr>
          <w:rFonts w:ascii="Arial" w:eastAsia="Times New Roman" w:hAnsi="Arial" w:cs="Arial"/>
          <w:sz w:val="18"/>
          <w:szCs w:val="18"/>
          <w:lang w:val="en-GB" w:eastAsia="en-US"/>
        </w:rPr>
        <w:t>), Alice Altissimo, VP Programs and Business Operations EVE (</w:t>
      </w:r>
      <w:r>
        <w:rPr>
          <w:rFonts w:ascii="Arial" w:eastAsia="Times New Roman" w:hAnsi="Arial" w:cs="Arial"/>
          <w:sz w:val="18"/>
          <w:szCs w:val="18"/>
          <w:lang w:val="en-GB" w:eastAsia="en-US"/>
        </w:rPr>
        <w:t>au centre</w:t>
      </w:r>
      <w:r w:rsidRPr="00BD5DFC">
        <w:rPr>
          <w:rFonts w:ascii="Arial" w:eastAsia="Times New Roman" w:hAnsi="Arial" w:cs="Arial"/>
          <w:sz w:val="18"/>
          <w:szCs w:val="18"/>
          <w:lang w:val="en-GB" w:eastAsia="en-US"/>
        </w:rPr>
        <w:t>)</w:t>
      </w:r>
    </w:p>
    <w:p w14:paraId="02A3BBEE" w14:textId="47390763" w:rsidR="000124F2" w:rsidRPr="00BD5DFC" w:rsidRDefault="000124F2" w:rsidP="000124F2">
      <w:pPr>
        <w:rPr>
          <w:rFonts w:ascii="Arial" w:hAnsi="Arial" w:cs="Arial"/>
          <w:sz w:val="18"/>
          <w:szCs w:val="18"/>
          <w:lang w:val="en-GB"/>
        </w:rPr>
      </w:pPr>
      <w:r w:rsidRPr="000124F2">
        <w:rPr>
          <w:rFonts w:ascii="Arial" w:eastAsia="Times New Roman" w:hAnsi="Arial" w:cs="Arial"/>
          <w:sz w:val="18"/>
          <w:szCs w:val="18"/>
          <w:lang w:val="fr-FR" w:eastAsia="en-US"/>
        </w:rPr>
        <w:t>Christiano Carleto, Head of Procurement EVE (à droite) lors de la cérémonie de signature avec Dr. Klaus Schneider, CTO, Liebherr-Aerospace &amp; Transportation SAS (2</w:t>
      </w:r>
      <w:r w:rsidRPr="000124F2">
        <w:rPr>
          <w:rFonts w:ascii="Arial" w:eastAsia="Times New Roman" w:hAnsi="Arial" w:cs="Arial"/>
          <w:sz w:val="18"/>
          <w:szCs w:val="18"/>
          <w:vertAlign w:val="superscript"/>
          <w:lang w:val="fr-FR" w:eastAsia="en-US"/>
        </w:rPr>
        <w:t>e</w:t>
      </w:r>
      <w:r w:rsidRPr="000124F2">
        <w:rPr>
          <w:rFonts w:ascii="Arial" w:eastAsia="Times New Roman" w:hAnsi="Arial" w:cs="Arial"/>
          <w:sz w:val="18"/>
          <w:szCs w:val="18"/>
          <w:lang w:val="fr-FR" w:eastAsia="en-US"/>
        </w:rPr>
        <w:t xml:space="preserve"> partant de la gauche), Gerd Heinzelmann, Managing Director Liebherr-Aerospace Lindenberg GmbH (3e partant de la gauche) </w:t>
      </w:r>
      <w:r>
        <w:rPr>
          <w:rFonts w:ascii="Arial" w:eastAsia="Times New Roman" w:hAnsi="Arial" w:cs="Arial"/>
          <w:sz w:val="18"/>
          <w:szCs w:val="18"/>
          <w:lang w:val="fr-FR" w:eastAsia="en-US"/>
        </w:rPr>
        <w:t>et</w:t>
      </w:r>
      <w:r w:rsidRPr="000124F2">
        <w:rPr>
          <w:rFonts w:ascii="Arial" w:eastAsia="Times New Roman" w:hAnsi="Arial" w:cs="Arial"/>
          <w:sz w:val="18"/>
          <w:szCs w:val="18"/>
          <w:lang w:val="fr-FR" w:eastAsia="en-US"/>
        </w:rPr>
        <w:t xml:space="preserve"> Matthias Flach, </w:t>
      </w:r>
      <w:r w:rsidRPr="000124F2">
        <w:rPr>
          <w:rFonts w:ascii="Arial" w:hAnsi="Arial" w:cs="Arial"/>
          <w:sz w:val="18"/>
          <w:szCs w:val="18"/>
          <w:lang w:val="fr-FR"/>
        </w:rPr>
        <w:t xml:space="preserve">Manager Liaison Office Brazil, </w:t>
      </w:r>
      <w:r w:rsidRPr="00BD5DFC">
        <w:rPr>
          <w:rFonts w:ascii="Arial" w:hAnsi="Arial" w:cs="Arial"/>
          <w:sz w:val="18"/>
          <w:szCs w:val="18"/>
          <w:lang w:val="pt-BR"/>
        </w:rPr>
        <w:t>Liebherr Aerospace Brasil Ltda. (</w:t>
      </w:r>
      <w:r>
        <w:rPr>
          <w:rFonts w:ascii="Arial" w:hAnsi="Arial" w:cs="Arial"/>
          <w:sz w:val="18"/>
          <w:szCs w:val="18"/>
          <w:lang w:val="pt-BR"/>
        </w:rPr>
        <w:t>à gauche</w:t>
      </w:r>
      <w:r w:rsidRPr="00BD5DFC">
        <w:rPr>
          <w:rFonts w:ascii="Arial" w:hAnsi="Arial" w:cs="Arial"/>
          <w:sz w:val="18"/>
          <w:szCs w:val="18"/>
          <w:lang w:val="pt-BR"/>
        </w:rPr>
        <w:t>)</w:t>
      </w:r>
    </w:p>
    <w:p w14:paraId="10E64C70" w14:textId="77777777" w:rsidR="000124F2" w:rsidRDefault="000124F2" w:rsidP="007D4DDE">
      <w:pPr>
        <w:pStyle w:val="StandardWeb"/>
        <w:spacing w:after="225"/>
        <w:rPr>
          <w:rFonts w:ascii="Arial" w:eastAsia="Calibri" w:hAnsi="Arial" w:cs="Arial"/>
          <w:b/>
          <w:sz w:val="22"/>
          <w:szCs w:val="22"/>
          <w:lang w:val="en-US"/>
        </w:rPr>
      </w:pPr>
    </w:p>
    <w:p w14:paraId="2885E6F2" w14:textId="77777777" w:rsidR="002903B0" w:rsidRDefault="002903B0" w:rsidP="007D4DDE">
      <w:pPr>
        <w:pStyle w:val="StandardWeb"/>
        <w:spacing w:after="225"/>
        <w:rPr>
          <w:rFonts w:ascii="Arial" w:eastAsia="Calibri" w:hAnsi="Arial" w:cs="Arial"/>
          <w:b/>
          <w:sz w:val="22"/>
          <w:szCs w:val="22"/>
          <w:lang w:val="en-US"/>
        </w:rPr>
      </w:pPr>
    </w:p>
    <w:p w14:paraId="31906CB3" w14:textId="77777777" w:rsidR="002903B0" w:rsidRDefault="002903B0" w:rsidP="007D4DDE">
      <w:pPr>
        <w:pStyle w:val="StandardWeb"/>
        <w:spacing w:after="225"/>
        <w:rPr>
          <w:rFonts w:ascii="Arial" w:eastAsia="Calibri" w:hAnsi="Arial" w:cs="Arial"/>
          <w:b/>
          <w:sz w:val="22"/>
          <w:szCs w:val="22"/>
          <w:lang w:val="en-US"/>
        </w:rPr>
      </w:pPr>
    </w:p>
    <w:p w14:paraId="7AFFDD24" w14:textId="77777777" w:rsidR="002903B0" w:rsidRDefault="002903B0" w:rsidP="007D4DDE">
      <w:pPr>
        <w:pStyle w:val="StandardWeb"/>
        <w:spacing w:after="225"/>
        <w:rPr>
          <w:rFonts w:ascii="Arial" w:eastAsia="Calibri" w:hAnsi="Arial" w:cs="Arial"/>
          <w:b/>
          <w:sz w:val="22"/>
          <w:szCs w:val="22"/>
          <w:lang w:val="en-US"/>
        </w:rPr>
      </w:pPr>
    </w:p>
    <w:p w14:paraId="03848C2E" w14:textId="77777777" w:rsidR="002903B0" w:rsidRDefault="002903B0" w:rsidP="007D4DDE">
      <w:pPr>
        <w:pStyle w:val="StandardWeb"/>
        <w:spacing w:after="225"/>
        <w:rPr>
          <w:rFonts w:ascii="Arial" w:eastAsia="Calibri" w:hAnsi="Arial" w:cs="Arial"/>
          <w:b/>
          <w:sz w:val="22"/>
          <w:szCs w:val="22"/>
          <w:lang w:val="en-US"/>
        </w:rPr>
      </w:pPr>
    </w:p>
    <w:p w14:paraId="303169F3" w14:textId="77777777" w:rsidR="002903B0" w:rsidRPr="002903B0" w:rsidRDefault="002903B0" w:rsidP="007D4DDE">
      <w:pPr>
        <w:pStyle w:val="StandardWeb"/>
        <w:spacing w:after="225"/>
        <w:rPr>
          <w:rFonts w:ascii="Arial" w:eastAsia="Calibri" w:hAnsi="Arial" w:cs="Arial"/>
          <w:b/>
          <w:sz w:val="22"/>
          <w:szCs w:val="22"/>
          <w:lang w:val="en-US"/>
        </w:rPr>
      </w:pPr>
    </w:p>
    <w:p w14:paraId="3B970D69" w14:textId="4E1D1B35" w:rsidR="007C108E" w:rsidRPr="002903B0" w:rsidRDefault="00AC05C5" w:rsidP="007D4DDE">
      <w:pPr>
        <w:pStyle w:val="StandardWeb"/>
        <w:spacing w:after="225"/>
        <w:rPr>
          <w:rFonts w:ascii="Arial" w:eastAsia="Calibri" w:hAnsi="Arial" w:cs="Arial"/>
          <w:sz w:val="18"/>
          <w:szCs w:val="18"/>
          <w:lang w:val="en-US"/>
        </w:rPr>
      </w:pPr>
      <w:r>
        <w:rPr>
          <w:rFonts w:ascii="Arial" w:eastAsia="Calibri" w:hAnsi="Arial" w:cs="Arial"/>
          <w:noProof/>
          <w:sz w:val="22"/>
          <w:szCs w:val="22"/>
          <w:lang w:val="fr-FR" w:eastAsia="fr-FR"/>
        </w:rPr>
        <w:drawing>
          <wp:inline distT="0" distB="0" distL="0" distR="0" wp14:anchorId="19181055" wp14:editId="000B20A2">
            <wp:extent cx="2110740" cy="1123605"/>
            <wp:effectExtent l="0" t="0" r="381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8698" cy="1127841"/>
                    </a:xfrm>
                    <a:prstGeom prst="rect">
                      <a:avLst/>
                    </a:prstGeom>
                  </pic:spPr>
                </pic:pic>
              </a:graphicData>
            </a:graphic>
          </wp:inline>
        </w:drawing>
      </w:r>
      <w:r w:rsidRPr="00B86BAF">
        <w:rPr>
          <w:rFonts w:ascii="Arial" w:eastAsia="Calibri" w:hAnsi="Arial" w:cs="Arial"/>
          <w:sz w:val="22"/>
          <w:szCs w:val="22"/>
          <w:lang w:val="en-US"/>
        </w:rPr>
        <w:br/>
      </w:r>
      <w:r w:rsidRPr="00B86BAF">
        <w:rPr>
          <w:rFonts w:ascii="Arial" w:eastAsia="Calibri" w:hAnsi="Arial" w:cs="Arial"/>
          <w:sz w:val="18"/>
          <w:szCs w:val="18"/>
          <w:lang w:val="en-US"/>
        </w:rPr>
        <w:br/>
        <w:t>EVE_img6.png</w:t>
      </w:r>
      <w:r w:rsidRPr="00B86BAF">
        <w:rPr>
          <w:rFonts w:ascii="Arial" w:eastAsia="Calibri" w:hAnsi="Arial" w:cs="Arial"/>
          <w:sz w:val="18"/>
          <w:szCs w:val="18"/>
          <w:lang w:val="en-US"/>
        </w:rPr>
        <w:br/>
      </w:r>
      <w:r w:rsidRPr="00B86BAF">
        <w:rPr>
          <w:rFonts w:ascii="Arial" w:eastAsia="Calibri" w:hAnsi="Arial" w:cs="Arial"/>
          <w:sz w:val="18"/>
          <w:szCs w:val="18"/>
          <w:lang w:val="en-US"/>
        </w:rPr>
        <w:br/>
        <w:t>eVTOL EVE – © Eve Air Mobility</w:t>
      </w:r>
    </w:p>
    <w:p w14:paraId="716FBC67" w14:textId="77777777" w:rsidR="00DC3073" w:rsidRPr="002903B0" w:rsidRDefault="00DC3073" w:rsidP="0081290F">
      <w:pPr>
        <w:rPr>
          <w:lang w:val="en-US"/>
        </w:rPr>
      </w:pPr>
    </w:p>
    <w:p w14:paraId="669BBC84" w14:textId="77777777" w:rsidR="009620F5" w:rsidRPr="00B86BAF" w:rsidRDefault="009620F5" w:rsidP="009620F5">
      <w:pPr>
        <w:pStyle w:val="Copyhead11Pt"/>
        <w:rPr>
          <w:lang w:val="fr-FR"/>
        </w:rPr>
      </w:pPr>
      <w:r>
        <w:rPr>
          <w:bCs/>
          <w:lang w:val="fr-FR"/>
        </w:rPr>
        <w:t>Contact</w:t>
      </w:r>
    </w:p>
    <w:p w14:paraId="7F9C12F4" w14:textId="77777777" w:rsidR="00E71E43" w:rsidRPr="002903B0" w:rsidRDefault="00E71E43" w:rsidP="00E71E43">
      <w:pPr>
        <w:spacing w:after="300" w:line="300" w:lineRule="exact"/>
        <w:rPr>
          <w:rFonts w:ascii="Arial" w:eastAsia="Times New Roman" w:hAnsi="Arial" w:cs="Times New Roman"/>
          <w:szCs w:val="18"/>
          <w:lang w:val="en-US"/>
        </w:rPr>
      </w:pPr>
      <w:r>
        <w:rPr>
          <w:rFonts w:ascii="Arial" w:eastAsia="Times New Roman" w:hAnsi="Arial" w:cs="Times New Roman"/>
          <w:szCs w:val="18"/>
          <w:lang w:val="fr-FR"/>
        </w:rPr>
        <w:t>Ute Braam</w:t>
      </w:r>
      <w:r>
        <w:rPr>
          <w:rFonts w:ascii="Arial" w:eastAsia="Times New Roman" w:hAnsi="Arial" w:cs="Times New Roman"/>
          <w:szCs w:val="18"/>
          <w:lang w:val="fr-FR"/>
        </w:rPr>
        <w:br/>
        <w:t>Communication d'entreprise</w:t>
      </w:r>
      <w:r>
        <w:rPr>
          <w:rFonts w:ascii="Arial" w:eastAsia="Times New Roman" w:hAnsi="Arial" w:cs="Times New Roman"/>
          <w:szCs w:val="18"/>
          <w:lang w:val="fr-FR"/>
        </w:rPr>
        <w:br/>
        <w:t>Téléphone : +49 8381 46 4403</w:t>
      </w:r>
      <w:r>
        <w:rPr>
          <w:rFonts w:ascii="Arial" w:eastAsia="Times New Roman" w:hAnsi="Arial" w:cs="Times New Roman"/>
          <w:szCs w:val="18"/>
          <w:lang w:val="fr-FR"/>
        </w:rPr>
        <w:br/>
        <w:t xml:space="preserve">Courriel : ute.braam@liebherr.com </w:t>
      </w:r>
    </w:p>
    <w:p w14:paraId="21901646" w14:textId="77777777" w:rsidR="00E71E43" w:rsidRPr="002903B0" w:rsidRDefault="00E71E43" w:rsidP="00E71E43">
      <w:pPr>
        <w:spacing w:after="300" w:line="300" w:lineRule="exact"/>
        <w:rPr>
          <w:rFonts w:ascii="Arial" w:eastAsia="Times New Roman" w:hAnsi="Arial" w:cs="Times New Roman"/>
          <w:szCs w:val="18"/>
          <w:lang w:val="en-US"/>
        </w:rPr>
      </w:pPr>
    </w:p>
    <w:p w14:paraId="2FB34A2E" w14:textId="77777777" w:rsidR="00E71E43" w:rsidRPr="002903B0" w:rsidRDefault="00E71E43" w:rsidP="00E71E43">
      <w:pPr>
        <w:spacing w:after="300" w:line="300" w:lineRule="exact"/>
        <w:rPr>
          <w:rFonts w:ascii="Arial" w:eastAsia="Times New Roman" w:hAnsi="Arial" w:cs="Times New Roman"/>
          <w:b/>
          <w:szCs w:val="18"/>
          <w:lang w:val="en-US"/>
        </w:rPr>
      </w:pPr>
      <w:r>
        <w:rPr>
          <w:rFonts w:ascii="Arial" w:eastAsia="Times New Roman" w:hAnsi="Arial" w:cs="Times New Roman"/>
          <w:b/>
          <w:bCs/>
          <w:szCs w:val="18"/>
          <w:lang w:val="fr-FR"/>
        </w:rPr>
        <w:t>Publié par</w:t>
      </w:r>
    </w:p>
    <w:p w14:paraId="0C319CE2" w14:textId="77777777" w:rsidR="00B81ED6" w:rsidRPr="002903B0" w:rsidRDefault="00E71E43" w:rsidP="00CF3C93">
      <w:pPr>
        <w:spacing w:after="300" w:line="300" w:lineRule="exact"/>
        <w:rPr>
          <w:lang w:val="en-US"/>
        </w:rPr>
      </w:pPr>
      <w:r>
        <w:rPr>
          <w:rFonts w:ascii="Arial" w:eastAsia="Times New Roman" w:hAnsi="Arial" w:cs="Times New Roman"/>
          <w:szCs w:val="18"/>
          <w:lang w:val="fr-FR"/>
        </w:rPr>
        <w:t xml:space="preserve">Liebherr-Aerospace &amp; Transportation SAS </w:t>
      </w:r>
      <w:r>
        <w:rPr>
          <w:rFonts w:ascii="Arial" w:eastAsia="Times New Roman" w:hAnsi="Arial" w:cs="Times New Roman"/>
          <w:szCs w:val="18"/>
          <w:lang w:val="fr-FR"/>
        </w:rPr>
        <w:br/>
        <w:t>Toulouse / France</w:t>
      </w:r>
      <w:r>
        <w:rPr>
          <w:rFonts w:ascii="Arial" w:eastAsia="Times New Roman" w:hAnsi="Arial" w:cs="Times New Roman"/>
          <w:szCs w:val="18"/>
          <w:lang w:val="fr-FR"/>
        </w:rPr>
        <w:br/>
        <w:t>www.liebherr.com</w:t>
      </w:r>
    </w:p>
    <w:sectPr w:rsidR="00B81ED6" w:rsidRPr="002903B0" w:rsidSect="009169F9">
      <w:headerReference w:type="even" r:id="rId10"/>
      <w:headerReference w:type="default" r:id="rId11"/>
      <w:footerReference w:type="default" r:id="rId12"/>
      <w:headerReference w:type="first" r:id="rId13"/>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ADD66" w14:textId="77777777" w:rsidR="007226BB" w:rsidRDefault="007226BB" w:rsidP="00B81ED6">
      <w:pPr>
        <w:spacing w:after="0" w:line="240" w:lineRule="auto"/>
      </w:pPr>
      <w:r>
        <w:separator/>
      </w:r>
    </w:p>
  </w:endnote>
  <w:endnote w:type="continuationSeparator" w:id="0">
    <w:p w14:paraId="79440803" w14:textId="77777777" w:rsidR="007226BB" w:rsidRDefault="007226BB"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BF3C" w14:textId="2DE37946" w:rsidR="00965077" w:rsidRPr="00652E53" w:rsidRDefault="00AA16C8" w:rsidP="00652E53">
    <w:pPr>
      <w:pStyle w:val="zzPageNumberLine"/>
      <w:rPr>
        <w:rFonts w:ascii="Arial" w:hAnsi="Arial" w:cs="Arial"/>
      </w:rPr>
    </w:pPr>
    <w:r>
      <w:rPr>
        <w:rFonts w:ascii="Arial" w:hAnsi="Arial" w:cs="Arial"/>
        <w:lang w:val="fr-FR"/>
      </w:rPr>
      <w:fldChar w:fldCharType="begin"/>
    </w:r>
    <w:r>
      <w:rPr>
        <w:rFonts w:ascii="Arial" w:hAnsi="Arial" w:cs="Arial"/>
        <w:lang w:val="fr-FR"/>
      </w:rPr>
      <w:instrText xml:space="preserve"> IF </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BC7A6F">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&gt; 1 "</w:instrText>
    </w:r>
    <w:r>
      <w:rPr>
        <w:rFonts w:ascii="Arial" w:hAnsi="Arial" w:cs="Arial"/>
        <w:lang w:val="fr-FR"/>
      </w:rPr>
      <w:fldChar w:fldCharType="begin"/>
    </w:r>
    <w:r>
      <w:rPr>
        <w:rFonts w:ascii="Arial" w:hAnsi="Arial" w:cs="Arial"/>
        <w:lang w:val="fr-FR"/>
      </w:rPr>
      <w:instrText xml:space="preserve"> PAGE  </w:instrText>
    </w:r>
    <w:r>
      <w:rPr>
        <w:rFonts w:ascii="Arial" w:hAnsi="Arial" w:cs="Arial"/>
        <w:lang w:val="fr-FR"/>
      </w:rPr>
      <w:fldChar w:fldCharType="separate"/>
    </w:r>
    <w:r w:rsidR="00BC7A6F">
      <w:rPr>
        <w:rFonts w:ascii="Arial" w:hAnsi="Arial" w:cs="Arial"/>
        <w:noProof/>
        <w:lang w:val="fr-FR"/>
      </w:rPr>
      <w:instrText>3</w:instrText>
    </w:r>
    <w:r>
      <w:rPr>
        <w:rFonts w:ascii="Arial" w:hAnsi="Arial" w:cs="Arial"/>
        <w:lang w:val="fr-FR"/>
      </w:rPr>
      <w:fldChar w:fldCharType="end"/>
    </w:r>
    <w:r>
      <w:rPr>
        <w:rFonts w:ascii="Arial" w:hAnsi="Arial" w:cs="Arial"/>
        <w:lang w:val="fr-FR"/>
      </w:rPr>
      <w:instrText>/</w:instrText>
    </w:r>
    <w:r>
      <w:rPr>
        <w:rFonts w:ascii="Arial" w:hAnsi="Arial" w:cs="Arial"/>
        <w:lang w:val="fr-FR"/>
      </w:rPr>
      <w:fldChar w:fldCharType="begin"/>
    </w:r>
    <w:r>
      <w:rPr>
        <w:rFonts w:ascii="Arial" w:hAnsi="Arial" w:cs="Arial"/>
        <w:lang w:val="fr-FR"/>
      </w:rPr>
      <w:instrText xml:space="preserve"> SECTIONPAGES  </w:instrText>
    </w:r>
    <w:r>
      <w:rPr>
        <w:rFonts w:ascii="Arial" w:hAnsi="Arial" w:cs="Arial"/>
        <w:lang w:val="fr-FR"/>
      </w:rPr>
      <w:fldChar w:fldCharType="separate"/>
    </w:r>
    <w:r w:rsidR="00BC7A6F">
      <w:rPr>
        <w:rFonts w:ascii="Arial" w:hAnsi="Arial" w:cs="Arial"/>
        <w:noProof/>
        <w:lang w:val="fr-FR"/>
      </w:rPr>
      <w:instrText>3</w:instrText>
    </w:r>
    <w:r>
      <w:rPr>
        <w:rFonts w:ascii="Arial" w:hAnsi="Arial" w:cs="Arial"/>
        <w:noProof/>
        <w:lang w:val="fr-FR"/>
      </w:rPr>
      <w:fldChar w:fldCharType="end"/>
    </w:r>
    <w:r>
      <w:rPr>
        <w:rFonts w:ascii="Arial" w:hAnsi="Arial" w:cs="Arial"/>
        <w:lang w:val="fr-FR"/>
      </w:rPr>
      <w:instrText xml:space="preserve">" "" </w:instrText>
    </w:r>
    <w:r w:rsidR="002903B0">
      <w:rPr>
        <w:rFonts w:ascii="Arial" w:hAnsi="Arial" w:cs="Arial"/>
        <w:lang w:val="fr-FR"/>
      </w:rPr>
      <w:fldChar w:fldCharType="separate"/>
    </w:r>
    <w:r w:rsidR="00BC7A6F">
      <w:rPr>
        <w:rFonts w:ascii="Arial" w:hAnsi="Arial" w:cs="Arial"/>
        <w:noProof/>
        <w:lang w:val="fr-FR"/>
      </w:rPr>
      <w:t>3/3</w:t>
    </w:r>
    <w:r>
      <w:rPr>
        <w:rFonts w:ascii="Arial" w:hAnsi="Arial" w:cs="Arial"/>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3CD2" w14:textId="77777777" w:rsidR="007226BB" w:rsidRDefault="007226BB" w:rsidP="00B81ED6">
      <w:pPr>
        <w:spacing w:after="0" w:line="240" w:lineRule="auto"/>
      </w:pPr>
      <w:r>
        <w:separator/>
      </w:r>
    </w:p>
  </w:footnote>
  <w:footnote w:type="continuationSeparator" w:id="0">
    <w:p w14:paraId="56823AAC" w14:textId="77777777" w:rsidR="007226BB" w:rsidRDefault="007226BB"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8B1C" w14:textId="1928C19E" w:rsidR="00552E52" w:rsidRDefault="00552E5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73DF" w14:textId="4B987DCD" w:rsidR="000C6D6D" w:rsidRDefault="000C6D6D" w:rsidP="000C6D6D">
    <w:pPr>
      <w:pStyle w:val="Kopfzeile"/>
      <w:jc w:val="right"/>
    </w:pPr>
    <w:r>
      <w:rPr>
        <w:noProof/>
        <w:lang w:val="fr-FR" w:eastAsia="fr-FR"/>
      </w:rPr>
      <w:drawing>
        <wp:inline distT="0" distB="0" distL="0" distR="0" wp14:anchorId="2F712210" wp14:editId="22348101">
          <wp:extent cx="2164080" cy="267970"/>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26797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5A195" w14:textId="04826351" w:rsidR="00552E52" w:rsidRDefault="00552E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E92370F"/>
    <w:multiLevelType w:val="hybridMultilevel"/>
    <w:tmpl w:val="FAAC456C"/>
    <w:lvl w:ilvl="0" w:tplc="DCFE75C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16cid:durableId="1363288664">
    <w:abstractNumId w:val="0"/>
  </w:num>
  <w:num w:numId="2" w16cid:durableId="1143694326">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652056148">
    <w:abstractNumId w:val="1"/>
  </w:num>
  <w:num w:numId="4" w16cid:durableId="8988264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4007"/>
    <w:rsid w:val="00006199"/>
    <w:rsid w:val="000124F2"/>
    <w:rsid w:val="00033002"/>
    <w:rsid w:val="00066E54"/>
    <w:rsid w:val="00080E68"/>
    <w:rsid w:val="00081870"/>
    <w:rsid w:val="000A7F5C"/>
    <w:rsid w:val="000C25D5"/>
    <w:rsid w:val="000C6D6D"/>
    <w:rsid w:val="000D29F1"/>
    <w:rsid w:val="000E1268"/>
    <w:rsid w:val="000E4D0E"/>
    <w:rsid w:val="00131807"/>
    <w:rsid w:val="0013412C"/>
    <w:rsid w:val="001419B4"/>
    <w:rsid w:val="00145DB7"/>
    <w:rsid w:val="00186082"/>
    <w:rsid w:val="001B7795"/>
    <w:rsid w:val="001D310D"/>
    <w:rsid w:val="00213466"/>
    <w:rsid w:val="00222602"/>
    <w:rsid w:val="00244512"/>
    <w:rsid w:val="00273340"/>
    <w:rsid w:val="002903B0"/>
    <w:rsid w:val="00294BFD"/>
    <w:rsid w:val="002D1A7C"/>
    <w:rsid w:val="002F7FA1"/>
    <w:rsid w:val="00307EF8"/>
    <w:rsid w:val="00333D78"/>
    <w:rsid w:val="0034133F"/>
    <w:rsid w:val="00343234"/>
    <w:rsid w:val="003524D2"/>
    <w:rsid w:val="003808BD"/>
    <w:rsid w:val="003B46CF"/>
    <w:rsid w:val="003C4B2C"/>
    <w:rsid w:val="003D6079"/>
    <w:rsid w:val="00415C94"/>
    <w:rsid w:val="00422D58"/>
    <w:rsid w:val="004822AE"/>
    <w:rsid w:val="004C3AAA"/>
    <w:rsid w:val="00500913"/>
    <w:rsid w:val="00520A02"/>
    <w:rsid w:val="00552E52"/>
    <w:rsid w:val="00556698"/>
    <w:rsid w:val="005656CC"/>
    <w:rsid w:val="005666CE"/>
    <w:rsid w:val="005805E5"/>
    <w:rsid w:val="005853AD"/>
    <w:rsid w:val="00586589"/>
    <w:rsid w:val="00594394"/>
    <w:rsid w:val="005C4A31"/>
    <w:rsid w:val="005D3919"/>
    <w:rsid w:val="005D49D1"/>
    <w:rsid w:val="005E0AA9"/>
    <w:rsid w:val="005E6847"/>
    <w:rsid w:val="005E716B"/>
    <w:rsid w:val="00613A3F"/>
    <w:rsid w:val="00626E8F"/>
    <w:rsid w:val="0062701B"/>
    <w:rsid w:val="00633F5B"/>
    <w:rsid w:val="00652324"/>
    <w:rsid w:val="00652E53"/>
    <w:rsid w:val="006B371A"/>
    <w:rsid w:val="006D00D8"/>
    <w:rsid w:val="006F0AC6"/>
    <w:rsid w:val="00702693"/>
    <w:rsid w:val="007226BB"/>
    <w:rsid w:val="00726670"/>
    <w:rsid w:val="00730878"/>
    <w:rsid w:val="00773950"/>
    <w:rsid w:val="007801D1"/>
    <w:rsid w:val="00795F79"/>
    <w:rsid w:val="007B1447"/>
    <w:rsid w:val="007C108E"/>
    <w:rsid w:val="007C1C52"/>
    <w:rsid w:val="007D1285"/>
    <w:rsid w:val="007D4B08"/>
    <w:rsid w:val="007D4DDE"/>
    <w:rsid w:val="007F2586"/>
    <w:rsid w:val="00802E8F"/>
    <w:rsid w:val="00803E19"/>
    <w:rsid w:val="008126A4"/>
    <w:rsid w:val="0081290F"/>
    <w:rsid w:val="00827325"/>
    <w:rsid w:val="008403BF"/>
    <w:rsid w:val="008555AC"/>
    <w:rsid w:val="008638BF"/>
    <w:rsid w:val="008A25DD"/>
    <w:rsid w:val="008A59F7"/>
    <w:rsid w:val="008B0FB5"/>
    <w:rsid w:val="008B7EF4"/>
    <w:rsid w:val="008F1353"/>
    <w:rsid w:val="009169F9"/>
    <w:rsid w:val="00923A8D"/>
    <w:rsid w:val="0093605C"/>
    <w:rsid w:val="00945369"/>
    <w:rsid w:val="009620F5"/>
    <w:rsid w:val="00965077"/>
    <w:rsid w:val="00987D50"/>
    <w:rsid w:val="009A0361"/>
    <w:rsid w:val="009A0E8F"/>
    <w:rsid w:val="009A3D17"/>
    <w:rsid w:val="009A3D88"/>
    <w:rsid w:val="009C09F1"/>
    <w:rsid w:val="009E2E08"/>
    <w:rsid w:val="009F2BA9"/>
    <w:rsid w:val="009F2F2E"/>
    <w:rsid w:val="00A12CA0"/>
    <w:rsid w:val="00A22CCF"/>
    <w:rsid w:val="00A30618"/>
    <w:rsid w:val="00A41097"/>
    <w:rsid w:val="00A53BE6"/>
    <w:rsid w:val="00A65F04"/>
    <w:rsid w:val="00AA16C8"/>
    <w:rsid w:val="00AB517E"/>
    <w:rsid w:val="00AC05C5"/>
    <w:rsid w:val="00AC2129"/>
    <w:rsid w:val="00AC6023"/>
    <w:rsid w:val="00AF1F99"/>
    <w:rsid w:val="00AF3A88"/>
    <w:rsid w:val="00AF7AB3"/>
    <w:rsid w:val="00B03867"/>
    <w:rsid w:val="00B10D41"/>
    <w:rsid w:val="00B3081B"/>
    <w:rsid w:val="00B3316B"/>
    <w:rsid w:val="00B36461"/>
    <w:rsid w:val="00B62425"/>
    <w:rsid w:val="00B726B0"/>
    <w:rsid w:val="00B81ED6"/>
    <w:rsid w:val="00B82785"/>
    <w:rsid w:val="00B8420F"/>
    <w:rsid w:val="00B85293"/>
    <w:rsid w:val="00B86BAF"/>
    <w:rsid w:val="00B9240D"/>
    <w:rsid w:val="00B95344"/>
    <w:rsid w:val="00BC2C86"/>
    <w:rsid w:val="00BC3E45"/>
    <w:rsid w:val="00BC7A6F"/>
    <w:rsid w:val="00BD7045"/>
    <w:rsid w:val="00BE1CB9"/>
    <w:rsid w:val="00BF068A"/>
    <w:rsid w:val="00C157C2"/>
    <w:rsid w:val="00C2556A"/>
    <w:rsid w:val="00C353EB"/>
    <w:rsid w:val="00C46C16"/>
    <w:rsid w:val="00C66C81"/>
    <w:rsid w:val="00C903B7"/>
    <w:rsid w:val="00CD2F75"/>
    <w:rsid w:val="00CF3C93"/>
    <w:rsid w:val="00CF4781"/>
    <w:rsid w:val="00D13959"/>
    <w:rsid w:val="00D3497D"/>
    <w:rsid w:val="00D34AAC"/>
    <w:rsid w:val="00D63E2A"/>
    <w:rsid w:val="00D7515E"/>
    <w:rsid w:val="00D7648B"/>
    <w:rsid w:val="00D80EDD"/>
    <w:rsid w:val="00D83C32"/>
    <w:rsid w:val="00D95BEF"/>
    <w:rsid w:val="00DC3073"/>
    <w:rsid w:val="00DC3B16"/>
    <w:rsid w:val="00DC7A58"/>
    <w:rsid w:val="00E05C6E"/>
    <w:rsid w:val="00E22EEB"/>
    <w:rsid w:val="00E71E43"/>
    <w:rsid w:val="00E7472C"/>
    <w:rsid w:val="00EA26F3"/>
    <w:rsid w:val="00EA6640"/>
    <w:rsid w:val="00EC67DD"/>
    <w:rsid w:val="00ED7F32"/>
    <w:rsid w:val="00EE0567"/>
    <w:rsid w:val="00EF256D"/>
    <w:rsid w:val="00EF582A"/>
    <w:rsid w:val="00F026BA"/>
    <w:rsid w:val="00F06CD1"/>
    <w:rsid w:val="00F12C72"/>
    <w:rsid w:val="00F137C3"/>
    <w:rsid w:val="00F739D3"/>
    <w:rsid w:val="00F77231"/>
    <w:rsid w:val="00FE155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0A127"/>
  <w15:docId w15:val="{64945226-7D00-456A-BF36-6C2462C39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A16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styleId="StandardWeb">
    <w:name w:val="Normal (Web)"/>
    <w:basedOn w:val="Standard"/>
    <w:uiPriority w:val="99"/>
    <w:unhideWhenUsed/>
    <w:rsid w:val="00E7472C"/>
    <w:rPr>
      <w:rFonts w:ascii="Times New Roman" w:hAnsi="Times New Roman" w:cs="Times New Roman"/>
      <w:sz w:val="24"/>
      <w:szCs w:val="24"/>
    </w:rPr>
  </w:style>
  <w:style w:type="paragraph" w:styleId="Listenabsatz">
    <w:name w:val="List Paragraph"/>
    <w:basedOn w:val="Standard"/>
    <w:uiPriority w:val="34"/>
    <w:rsid w:val="00E7472C"/>
    <w:pPr>
      <w:ind w:left="720"/>
      <w:contextualSpacing/>
    </w:pPr>
  </w:style>
  <w:style w:type="character" w:styleId="Kommentarzeichen">
    <w:name w:val="annotation reference"/>
    <w:basedOn w:val="Absatz-Standardschriftart"/>
    <w:uiPriority w:val="99"/>
    <w:semiHidden/>
    <w:unhideWhenUsed/>
    <w:rsid w:val="00626E8F"/>
    <w:rPr>
      <w:sz w:val="16"/>
      <w:szCs w:val="16"/>
    </w:rPr>
  </w:style>
  <w:style w:type="paragraph" w:styleId="Kommentartext">
    <w:name w:val="annotation text"/>
    <w:basedOn w:val="Standard"/>
    <w:link w:val="KommentartextZchn"/>
    <w:uiPriority w:val="99"/>
    <w:semiHidden/>
    <w:unhideWhenUsed/>
    <w:rsid w:val="00626E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6E8F"/>
    <w:rPr>
      <w:sz w:val="20"/>
      <w:szCs w:val="20"/>
    </w:rPr>
  </w:style>
  <w:style w:type="paragraph" w:styleId="Kommentarthema">
    <w:name w:val="annotation subject"/>
    <w:basedOn w:val="Kommentartext"/>
    <w:next w:val="Kommentartext"/>
    <w:link w:val="KommentarthemaZchn"/>
    <w:uiPriority w:val="99"/>
    <w:semiHidden/>
    <w:unhideWhenUsed/>
    <w:rsid w:val="00626E8F"/>
    <w:rPr>
      <w:b/>
      <w:bCs/>
    </w:rPr>
  </w:style>
  <w:style w:type="character" w:customStyle="1" w:styleId="KommentarthemaZchn">
    <w:name w:val="Kommentarthema Zchn"/>
    <w:basedOn w:val="KommentartextZchn"/>
    <w:link w:val="Kommentarthema"/>
    <w:uiPriority w:val="99"/>
    <w:semiHidden/>
    <w:rsid w:val="00626E8F"/>
    <w:rPr>
      <w:b/>
      <w:bCs/>
      <w:sz w:val="20"/>
      <w:szCs w:val="20"/>
    </w:rPr>
  </w:style>
  <w:style w:type="paragraph" w:styleId="Sprechblasentext">
    <w:name w:val="Balloon Text"/>
    <w:basedOn w:val="Standard"/>
    <w:link w:val="SprechblasentextZchn"/>
    <w:uiPriority w:val="99"/>
    <w:semiHidden/>
    <w:unhideWhenUsed/>
    <w:rsid w:val="00626E8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26E8F"/>
    <w:rPr>
      <w:rFonts w:ascii="Segoe UI" w:hAnsi="Segoe UI" w:cs="Segoe UI"/>
      <w:sz w:val="18"/>
      <w:szCs w:val="18"/>
    </w:rPr>
  </w:style>
  <w:style w:type="paragraph" w:styleId="berarbeitung">
    <w:name w:val="Revision"/>
    <w:hidden/>
    <w:uiPriority w:val="99"/>
    <w:semiHidden/>
    <w:rsid w:val="000818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635540">
      <w:bodyDiv w:val="1"/>
      <w:marLeft w:val="0"/>
      <w:marRight w:val="0"/>
      <w:marTop w:val="0"/>
      <w:marBottom w:val="0"/>
      <w:divBdr>
        <w:top w:val="none" w:sz="0" w:space="0" w:color="auto"/>
        <w:left w:val="none" w:sz="0" w:space="0" w:color="auto"/>
        <w:bottom w:val="none" w:sz="0" w:space="0" w:color="auto"/>
        <w:right w:val="none" w:sz="0" w:space="0" w:color="auto"/>
      </w:divBdr>
    </w:div>
    <w:div w:id="1154569379">
      <w:bodyDiv w:val="1"/>
      <w:marLeft w:val="0"/>
      <w:marRight w:val="0"/>
      <w:marTop w:val="0"/>
      <w:marBottom w:val="0"/>
      <w:divBdr>
        <w:top w:val="none" w:sz="0" w:space="0" w:color="auto"/>
        <w:left w:val="none" w:sz="0" w:space="0" w:color="auto"/>
        <w:bottom w:val="none" w:sz="0" w:space="0" w:color="auto"/>
        <w:right w:val="none" w:sz="0" w:space="0" w:color="auto"/>
      </w:divBdr>
    </w:div>
    <w:div w:id="205484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8FFACF0FF6B74D0AB72C7E22A553B99B"/>
        <w:category>
          <w:name w:val="Allgemein"/>
          <w:gallery w:val="placeholder"/>
        </w:category>
        <w:types>
          <w:type w:val="bbPlcHdr"/>
        </w:types>
        <w:behaviors>
          <w:behavior w:val="content"/>
        </w:behaviors>
        <w:guid w:val="{830995CB-CCCE-42D6-BE42-FA7FC8D7229F}"/>
      </w:docPartPr>
      <w:docPartBody>
        <w:p w:rsidR="00372F43" w:rsidRDefault="009F1174" w:rsidP="009F1174">
          <w:pPr>
            <w:pStyle w:val="8FFACF0FF6B74D0AB72C7E22A553B99B"/>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67096"/>
    <w:rsid w:val="000E7285"/>
    <w:rsid w:val="00176195"/>
    <w:rsid w:val="00281395"/>
    <w:rsid w:val="00292C1D"/>
    <w:rsid w:val="002D57C5"/>
    <w:rsid w:val="0036565E"/>
    <w:rsid w:val="00372F43"/>
    <w:rsid w:val="00374378"/>
    <w:rsid w:val="003B6B35"/>
    <w:rsid w:val="003F14B9"/>
    <w:rsid w:val="00557DFF"/>
    <w:rsid w:val="00745223"/>
    <w:rsid w:val="00752FAB"/>
    <w:rsid w:val="00765192"/>
    <w:rsid w:val="007D4679"/>
    <w:rsid w:val="008C2187"/>
    <w:rsid w:val="0095225D"/>
    <w:rsid w:val="00993134"/>
    <w:rsid w:val="009F1174"/>
    <w:rsid w:val="00A8204C"/>
    <w:rsid w:val="00AB5D57"/>
    <w:rsid w:val="00BD0BEC"/>
    <w:rsid w:val="00C67096"/>
    <w:rsid w:val="00D31EDA"/>
    <w:rsid w:val="00D71CED"/>
    <w:rsid w:val="00E465D7"/>
    <w:rsid w:val="00E8505A"/>
    <w:rsid w:val="00EA2CC2"/>
    <w:rsid w:val="00F35484"/>
    <w:rsid w:val="00F477EC"/>
    <w:rsid w:val="00F87BD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522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F1174"/>
    <w:rPr>
      <w:color w:val="808080"/>
    </w:rPr>
  </w:style>
  <w:style w:type="paragraph" w:customStyle="1" w:styleId="832D8E68428B422EA668CB81D7B29564">
    <w:name w:val="832D8E68428B422EA668CB81D7B29564"/>
    <w:rsid w:val="00C67096"/>
  </w:style>
  <w:style w:type="paragraph" w:customStyle="1" w:styleId="8FFACF0FF6B74D0AB72C7E22A553B99B">
    <w:name w:val="8FFACF0FF6B74D0AB72C7E22A553B99B"/>
    <w:rsid w:val="009F11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7F380-218A-4C31-A28B-46386EBE4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751</Words>
  <Characters>4734</Characters>
  <Application>Microsoft Office Word</Application>
  <DocSecurity>0</DocSecurity>
  <Lines>39</Lines>
  <Paragraphs>10</Paragraphs>
  <ScaleCrop>false</ScaleCrop>
  <HeadingPairs>
    <vt:vector size="8" baseType="variant">
      <vt:variant>
        <vt:lpstr>Titre</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Liebherr supplies electro-mechanic actuators for Eve Air Mobility’s eVTOL</vt:lpstr>
      <vt:lpstr>Liebherr supplies electro-mechanic actuators for Eve Air Mobility’s eVTOL</vt:lpstr>
      <vt:lpstr>Liebherr supplies electro-mechanic actuators for Embraer´s EVE-100 eVTOL</vt:lpstr>
      <vt:lpstr>Liebherr supplies Electro Mechanical Rudder for 
Phenom 300 – a milestone in commercial aviation</vt:lpstr>
    </vt:vector>
  </TitlesOfParts>
  <Company>Liebherr</Company>
  <LinksUpToDate>false</LinksUpToDate>
  <CharactersWithSpaces>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Liebherr fournit les actionneurs électromécaniques de l’eVTOL d’Eve Air Mobility</dc:title>
  <dc:creator>Goetz Manuel (LHO)</dc:creator>
  <cp:lastModifiedBy>Braam Ute (AER)</cp:lastModifiedBy>
  <cp:revision>3</cp:revision>
  <cp:lastPrinted>2023-10-11T07:56:00Z</cp:lastPrinted>
  <dcterms:created xsi:type="dcterms:W3CDTF">2023-11-03T16:12:00Z</dcterms:created>
  <dcterms:modified xsi:type="dcterms:W3CDTF">2023-11-03T16:14:00Z</dcterms:modified>
  <cp:category>Communiqué de presse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0459ad-4eb7-43ee-b2e0-a4f39d08f16c_Enabled">
    <vt:lpwstr>true</vt:lpwstr>
  </property>
  <property fmtid="{D5CDD505-2E9C-101B-9397-08002B2CF9AE}" pid="3" name="MSIP_Label_ad0459ad-4eb7-43ee-b2e0-a4f39d08f16c_SetDate">
    <vt:lpwstr>2023-10-10T12:29:05Z</vt:lpwstr>
  </property>
  <property fmtid="{D5CDD505-2E9C-101B-9397-08002B2CF9AE}" pid="4" name="MSIP_Label_ad0459ad-4eb7-43ee-b2e0-a4f39d08f16c_Method">
    <vt:lpwstr>Standard</vt:lpwstr>
  </property>
  <property fmtid="{D5CDD505-2E9C-101B-9397-08002B2CF9AE}" pid="5" name="MSIP_Label_ad0459ad-4eb7-43ee-b2e0-a4f39d08f16c_Name">
    <vt:lpwstr>Private</vt:lpwstr>
  </property>
  <property fmtid="{D5CDD505-2E9C-101B-9397-08002B2CF9AE}" pid="6" name="MSIP_Label_ad0459ad-4eb7-43ee-b2e0-a4f39d08f16c_SiteId">
    <vt:lpwstr>1b5ba8a2-315d-45ce-959a-42b748c01de7</vt:lpwstr>
  </property>
  <property fmtid="{D5CDD505-2E9C-101B-9397-08002B2CF9AE}" pid="7" name="MSIP_Label_ad0459ad-4eb7-43ee-b2e0-a4f39d08f16c_ActionId">
    <vt:lpwstr>55fbe6b6-70de-472b-a20d-c4a26b7bb4f5</vt:lpwstr>
  </property>
  <property fmtid="{D5CDD505-2E9C-101B-9397-08002B2CF9AE}" pid="8" name="MSIP_Label_ad0459ad-4eb7-43ee-b2e0-a4f39d08f16c_ContentBits">
    <vt:lpwstr>0</vt:lpwstr>
  </property>
</Properties>
</file>