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A91C5" w14:textId="77777777" w:rsidR="003D54CC" w:rsidRPr="005D7837" w:rsidRDefault="00E847CC" w:rsidP="00E847CC">
      <w:pPr>
        <w:pStyle w:val="Topline16Pt"/>
      </w:pPr>
      <w:bookmarkStart w:id="0" w:name="_Hlk95121597"/>
      <w:r>
        <w:t>Press release</w:t>
      </w:r>
    </w:p>
    <w:p w14:paraId="6556FB2C" w14:textId="3188AE87" w:rsidR="00827B5A" w:rsidRPr="005D7837" w:rsidRDefault="009C2A05" w:rsidP="00E81693">
      <w:pPr>
        <w:pStyle w:val="HeadlineH233Pt"/>
        <w:spacing w:line="240" w:lineRule="auto"/>
        <w:rPr>
          <w:rFonts w:ascii="Tahoma" w:hAnsi="Tahoma" w:cs="Tahoma"/>
        </w:rPr>
      </w:pPr>
      <w:r>
        <w:rPr>
          <w:sz w:val="64"/>
        </w:rPr>
        <w:t>Global Wind Projects and Global Crane Services expand their crane fleet with a Liebherr LG</w:t>
      </w:r>
      <w:r w:rsidR="00BD6F7E">
        <w:rPr>
          <w:sz w:val="64"/>
        </w:rPr>
        <w:t> </w:t>
      </w:r>
      <w:r>
        <w:rPr>
          <w:sz w:val="64"/>
        </w:rPr>
        <w:t>1750</w:t>
      </w:r>
      <w:r>
        <w:rPr>
          <w:sz w:val="64"/>
        </w:rPr>
        <w:br/>
      </w:r>
      <w:r>
        <w:rPr>
          <w:rFonts w:ascii="Tahoma" w:hAnsi="Tahoma"/>
        </w:rPr>
        <w:t>⸺</w:t>
      </w:r>
    </w:p>
    <w:p w14:paraId="54EEA132" w14:textId="77777777" w:rsidR="0084358F" w:rsidRPr="005D7837" w:rsidRDefault="00EE0DC8" w:rsidP="00AC6B02">
      <w:pPr>
        <w:pStyle w:val="Bulletpoints11Pt"/>
      </w:pPr>
      <w:r>
        <w:t>The new addition is the second LG 1750 in the corporate fleet</w:t>
      </w:r>
    </w:p>
    <w:p w14:paraId="61AAEFAD" w14:textId="77777777" w:rsidR="00CE7757" w:rsidRDefault="00C80967" w:rsidP="00DC0D6D">
      <w:pPr>
        <w:pStyle w:val="Bulletpoints11Pt"/>
      </w:pPr>
      <w:r>
        <w:t>Global Group uses the new crane for wind power projects and heavy-duty hoists in ports, industry and for infrastructure projects</w:t>
      </w:r>
    </w:p>
    <w:p w14:paraId="75B9AAFE" w14:textId="77777777" w:rsidR="00D063D8" w:rsidRDefault="00D063D8" w:rsidP="00DC0D6D">
      <w:pPr>
        <w:pStyle w:val="Bulletpoints11Pt"/>
      </w:pPr>
      <w:r>
        <w:t>The LG 1750 lattice boom mobile crane combines the advantages of crawler and mobile cranes.</w:t>
      </w:r>
    </w:p>
    <w:p w14:paraId="6EE1C8BC" w14:textId="77777777" w:rsidR="007055E6" w:rsidRPr="007B397E" w:rsidRDefault="007055E6" w:rsidP="00CE10E0">
      <w:pPr>
        <w:pStyle w:val="Bulletpoints11Pt"/>
        <w:numPr>
          <w:ilvl w:val="0"/>
          <w:numId w:val="0"/>
        </w:numPr>
        <w:rPr>
          <w:lang w:val="en-US"/>
        </w:rPr>
      </w:pPr>
    </w:p>
    <w:p w14:paraId="66DEB4E1" w14:textId="68666533" w:rsidR="009C2A05" w:rsidRPr="009C2A05" w:rsidRDefault="009C2A05" w:rsidP="0080405C">
      <w:pPr>
        <w:pStyle w:val="Copytext11Pt"/>
        <w:rPr>
          <w:b/>
        </w:rPr>
      </w:pPr>
      <w:r>
        <w:rPr>
          <w:b/>
        </w:rPr>
        <w:t>Global Wind Projects, a leading UK provider of crane and installation services for wind turbines, has joined forces with its sister company Global Crane Services to strengthen their joint crane fleet with a Liebherr LG 1750. The 750-tonne lattice boom mobile crane, which combines the performance of a crawler crane with the mobility of an all-terrain mobile crane, joins an LG 1750 and LR 1750 crawler crane, as well as over 60 mobile cranes with lifting capacities ranging from 25 to 750 tonnes in the Global fleet, and will help the company to meet growing demand from the wind industry in the UK and Ireland.</w:t>
      </w:r>
    </w:p>
    <w:p w14:paraId="08CDFAD3" w14:textId="1EB59B28" w:rsidR="000F33CB" w:rsidRDefault="00F07120" w:rsidP="009C2A05">
      <w:pPr>
        <w:pStyle w:val="Copytext11Pt"/>
      </w:pPr>
      <w:r>
        <w:t>Ehingen (</w:t>
      </w:r>
      <w:proofErr w:type="spellStart"/>
      <w:r>
        <w:t>Donau</w:t>
      </w:r>
      <w:proofErr w:type="spellEnd"/>
      <w:r>
        <w:t xml:space="preserve">) (Germany), </w:t>
      </w:r>
      <w:r w:rsidR="00BD6F7E">
        <w:t>4 October</w:t>
      </w:r>
      <w:r>
        <w:t xml:space="preserve"> 2023 – While Global Wind Projects will use the new LG 1750 primarily for onshore wind power projects, Global Crane Services will use it for heavy-duty tasks in ports, on infrastructure projects and in the petrochemical industry in the UK and Ireland. Both companies are</w:t>
      </w:r>
      <w:r w:rsidR="00BD6F7E">
        <w:t xml:space="preserve"> </w:t>
      </w:r>
      <w:r>
        <w:t>subsidiaries of Global Port Services, part of the Inverness and Aberdeen-based Global Energy Group, a services group for the energy sector.</w:t>
      </w:r>
    </w:p>
    <w:p w14:paraId="611C3762" w14:textId="77777777" w:rsidR="009C2A05" w:rsidRPr="009C2A05" w:rsidRDefault="009C2A05" w:rsidP="009C2A05">
      <w:pPr>
        <w:pStyle w:val="Copytext11Pt"/>
      </w:pPr>
      <w:r>
        <w:t xml:space="preserve">Ryan Burke, General Manager at Global Wind Projects, explains the expansion of the crane fleet: "With the purchase of the new Liebherr LG 1750, we are doubling our capacity for the specific requirements of wind projects. This procurement is therefore a very significant investment for our company. The new crane was put to work for the first time in Ireland, where it installed five onshore wind turbines at ABO Wind Ireland's </w:t>
      </w:r>
      <w:proofErr w:type="spellStart"/>
      <w:r>
        <w:t>Sheskin</w:t>
      </w:r>
      <w:proofErr w:type="spellEnd"/>
      <w:r>
        <w:t xml:space="preserve"> wind farm in County Mayo. It then went to County Offaly to install 29 onshore turbines at the Yellow River wind farm. With two LG 1750s in our fleet, we can meet the increasing demand for our onshore wind crane and erection services and support the continued growth of Global Wind Projects."</w:t>
      </w:r>
    </w:p>
    <w:p w14:paraId="1285966D" w14:textId="77777777" w:rsidR="000F33CB" w:rsidRDefault="000F33CB" w:rsidP="000F33CB">
      <w:pPr>
        <w:pStyle w:val="Copytext11Pt"/>
      </w:pPr>
      <w:r>
        <w:t xml:space="preserve">Liebherr sales manager Lyle </w:t>
      </w:r>
      <w:proofErr w:type="spellStart"/>
      <w:r>
        <w:t>Sibbald</w:t>
      </w:r>
      <w:proofErr w:type="spellEnd"/>
      <w:r>
        <w:t xml:space="preserve"> comments: "We have built up a very close relationship with Global Port Services over a number of years and are delighted to supply this brand new LG1750 to support </w:t>
      </w:r>
      <w:r>
        <w:lastRenderedPageBreak/>
        <w:t>Global Wind Projects' expansion. The LG1750 is recognised as one of the most versatile and efficient heavy lift cranes on the market and is sure to play an important role in Global Wind Projects' wind farm work as well as Global Crane Services' heavy lift projects."</w:t>
      </w:r>
    </w:p>
    <w:p w14:paraId="29E895B0" w14:textId="7291AD88" w:rsidR="00C332B5" w:rsidRDefault="00C332B5" w:rsidP="000F33CB">
      <w:pPr>
        <w:pStyle w:val="Copytext11Pt"/>
      </w:pPr>
      <w:r>
        <w:t xml:space="preserve">The LG 1750 lattice boom mobile crane offers the flexibility and performance of a 750-tonne crawler crane as well as the mobility of a high-speed mobile crane. In other words, it combines the benefits of these two crane types in a single concept. The LG 1750 uses the crane </w:t>
      </w:r>
      <w:r w:rsidR="00BD6F7E">
        <w:t>superstructure</w:t>
      </w:r>
      <w:r>
        <w:t xml:space="preserve"> and boom system from the LR 1750 crawler crane, together with a</w:t>
      </w:r>
      <w:r w:rsidR="00BD6F7E">
        <w:t>n</w:t>
      </w:r>
      <w:r>
        <w:t xml:space="preserve"> eight-axle chassis </w:t>
      </w:r>
      <w:r w:rsidR="00BD6F7E">
        <w:t xml:space="preserve">of the latest design </w:t>
      </w:r>
      <w:bookmarkStart w:id="1" w:name="_GoBack"/>
      <w:bookmarkEnd w:id="1"/>
      <w:r>
        <w:t>with speed-dependent rear-axle steering. This makes the lattice boom mobile crane ideal for fast erection work for wind power projects, industrial construction or infrastructure work.</w:t>
      </w:r>
    </w:p>
    <w:p w14:paraId="5AC33C5B" w14:textId="77777777" w:rsidR="009C2A05" w:rsidRPr="00A648E1" w:rsidRDefault="009C2A05" w:rsidP="000F33CB">
      <w:pPr>
        <w:pStyle w:val="Copytext11Pt"/>
      </w:pPr>
      <w:r>
        <w:t xml:space="preserve">Global Wind Projects was established in April 2021 by Global Port Services to meet the increased demand for onshore and offshore wind power in the UK and Ireland. Since then, the company has experienced rapid growth and established itself as a reliable partner for some of the largest contractors in the renewable energy sector. </w:t>
      </w:r>
    </w:p>
    <w:p w14:paraId="09216864" w14:textId="77777777" w:rsidR="007B397E" w:rsidRPr="002A074B" w:rsidRDefault="007B397E" w:rsidP="007B397E">
      <w:pPr>
        <w:spacing w:after="240" w:line="240" w:lineRule="exact"/>
        <w:rPr>
          <w:rFonts w:ascii="Arial" w:eastAsia="Times New Roman" w:hAnsi="Arial" w:cs="Arial"/>
          <w:b/>
          <w:sz w:val="18"/>
          <w:szCs w:val="18"/>
          <w:lang w:val="en-US"/>
        </w:rPr>
      </w:pPr>
      <w:r w:rsidRPr="002A074B">
        <w:rPr>
          <w:rFonts w:ascii="Arial" w:hAnsi="Arial"/>
          <w:b/>
          <w:sz w:val="18"/>
          <w:lang w:val="en-US"/>
        </w:rPr>
        <w:t>About Liebherr-</w:t>
      </w:r>
      <w:proofErr w:type="spellStart"/>
      <w:r w:rsidRPr="002A074B">
        <w:rPr>
          <w:rFonts w:ascii="Arial" w:hAnsi="Arial"/>
          <w:b/>
          <w:sz w:val="18"/>
          <w:lang w:val="en-US"/>
        </w:rPr>
        <w:t>Werk</w:t>
      </w:r>
      <w:proofErr w:type="spellEnd"/>
      <w:r w:rsidRPr="002A074B">
        <w:rPr>
          <w:rFonts w:ascii="Arial" w:hAnsi="Arial"/>
          <w:b/>
          <w:sz w:val="18"/>
          <w:lang w:val="en-US"/>
        </w:rPr>
        <w:t xml:space="preserve"> Ehingen GmbH</w:t>
      </w:r>
    </w:p>
    <w:p w14:paraId="61AE67EB" w14:textId="77777777" w:rsidR="007B397E" w:rsidRPr="00452846" w:rsidRDefault="007B397E" w:rsidP="007B397E">
      <w:pPr>
        <w:spacing w:after="240" w:line="240" w:lineRule="exact"/>
        <w:rPr>
          <w:rFonts w:ascii="Arial" w:eastAsia="Times New Roman" w:hAnsi="Arial" w:cs="Arial"/>
          <w:sz w:val="18"/>
          <w:szCs w:val="18"/>
        </w:rPr>
      </w:pPr>
      <w:r w:rsidRPr="002A074B">
        <w:rPr>
          <w:rFonts w:ascii="Arial" w:hAnsi="Arial"/>
          <w:sz w:val="18"/>
          <w:lang w:val="en-US"/>
        </w:rPr>
        <w:t>Liebherr-</w:t>
      </w:r>
      <w:proofErr w:type="spellStart"/>
      <w:r w:rsidRPr="002A074B">
        <w:rPr>
          <w:rFonts w:ascii="Arial" w:hAnsi="Arial"/>
          <w:sz w:val="18"/>
          <w:lang w:val="en-US"/>
        </w:rPr>
        <w:t>Werk</w:t>
      </w:r>
      <w:proofErr w:type="spellEnd"/>
      <w:r w:rsidRPr="002A074B">
        <w:rPr>
          <w:rFonts w:ascii="Arial" w:hAnsi="Arial"/>
          <w:sz w:val="18"/>
          <w:lang w:val="en-US"/>
        </w:rPr>
        <w:t xml:space="preserve"> Ehingen GmbH is a leading manufacturer of mobile and crawler cranes. Its range of mobile cranes extends from 2-axle 35 </w:t>
      </w:r>
      <w:proofErr w:type="spellStart"/>
      <w:r w:rsidRPr="002A074B">
        <w:rPr>
          <w:rFonts w:ascii="Arial" w:hAnsi="Arial"/>
          <w:sz w:val="18"/>
          <w:lang w:val="en-US"/>
        </w:rPr>
        <w:t>tonne</w:t>
      </w:r>
      <w:proofErr w:type="spellEnd"/>
      <w:r w:rsidRPr="002A074B">
        <w:rPr>
          <w:rFonts w:ascii="Arial" w:hAnsi="Arial"/>
          <w:sz w:val="18"/>
          <w:lang w:val="en-US"/>
        </w:rPr>
        <w:t xml:space="preserve"> cranes to heavy duty cranes with a lifting capacity of 1200 </w:t>
      </w:r>
      <w:proofErr w:type="spellStart"/>
      <w:r w:rsidRPr="002A074B">
        <w:rPr>
          <w:rFonts w:ascii="Arial" w:hAnsi="Arial"/>
          <w:sz w:val="18"/>
          <w:lang w:val="en-US"/>
        </w:rPr>
        <w:t>tonnes</w:t>
      </w:r>
      <w:proofErr w:type="spellEnd"/>
      <w:r w:rsidRPr="002A074B">
        <w:rPr>
          <w:rFonts w:ascii="Arial" w:hAnsi="Arial"/>
          <w:sz w:val="18"/>
          <w:lang w:val="en-US"/>
        </w:rPr>
        <w:t xml:space="preserve"> and a 9-axle chassis. Its lattice boom cranes on mobile or crawler travel gear deliver lifting capacities of up to 3000 </w:t>
      </w:r>
      <w:proofErr w:type="spellStart"/>
      <w:r w:rsidRPr="002A074B">
        <w:rPr>
          <w:rFonts w:ascii="Arial" w:hAnsi="Arial"/>
          <w:sz w:val="18"/>
          <w:lang w:val="en-US"/>
        </w:rPr>
        <w:t>tonnes</w:t>
      </w:r>
      <w:proofErr w:type="spellEnd"/>
      <w:r w:rsidRPr="002A074B">
        <w:rPr>
          <w:rFonts w:ascii="Arial" w:hAnsi="Arial"/>
          <w:sz w:val="18"/>
          <w:lang w:val="en-US"/>
        </w:rPr>
        <w:t xml:space="preserve">. With universal boom systems and extensive additional equipment, they can be seen in action on construction sites throughout the world. </w:t>
      </w:r>
      <w:r>
        <w:rPr>
          <w:rFonts w:ascii="Arial" w:hAnsi="Arial"/>
          <w:sz w:val="18"/>
        </w:rPr>
        <w:t>The Ehingen site has a workforce of 4,300. An extensive, global service network guarantees the high availability of Liebherr mobile and crawler cranes. In 2022, the Liebherr plant in Ehingen recorded a turnover of 2.37 billion euros.</w:t>
      </w:r>
    </w:p>
    <w:p w14:paraId="7AD586EC" w14:textId="77777777" w:rsidR="007B397E" w:rsidRPr="00452846" w:rsidRDefault="007B397E" w:rsidP="007B397E">
      <w:pPr>
        <w:spacing w:after="240" w:line="240" w:lineRule="exact"/>
        <w:rPr>
          <w:rFonts w:ascii="Arial" w:eastAsia="Times New Roman" w:hAnsi="Arial" w:cs="Arial"/>
          <w:b/>
          <w:sz w:val="18"/>
          <w:szCs w:val="18"/>
        </w:rPr>
      </w:pPr>
      <w:r>
        <w:rPr>
          <w:rFonts w:ascii="Arial" w:hAnsi="Arial"/>
          <w:b/>
          <w:sz w:val="18"/>
        </w:rPr>
        <w:t>About the Liebherr Group</w:t>
      </w:r>
    </w:p>
    <w:p w14:paraId="6CA602CB" w14:textId="77777777" w:rsidR="007B397E" w:rsidRPr="00452846" w:rsidRDefault="007B397E" w:rsidP="007B397E">
      <w:pPr>
        <w:spacing w:after="240" w:line="240" w:lineRule="exact"/>
        <w:rPr>
          <w:rFonts w:ascii="Arial" w:eastAsia="Times New Roman" w:hAnsi="Arial" w:cs="Arial"/>
          <w:sz w:val="18"/>
          <w:szCs w:val="18"/>
        </w:rPr>
      </w:pPr>
      <w:r>
        <w:rPr>
          <w:rFonts w:ascii="Arial" w:hAnsi="Arial"/>
          <w:sz w:val="18"/>
        </w:rPr>
        <w:t xml:space="preserve">The Liebherr Group is a family-run technology company with a widely diversified product range. The company is one of the largest manufacturers of construction machines in the world. However, it also supplies high quality, user-focused products and services in many other sectors. The group currently comprises more than 140 companies based in every continent of the world. In 2022, it had a workforce of over 50,000 and recorded a consolidated total turnover of more than 12.5 billion euros. The company was founded in 1949 in </w:t>
      </w:r>
      <w:proofErr w:type="spellStart"/>
      <w:r>
        <w:rPr>
          <w:rFonts w:ascii="Arial" w:hAnsi="Arial"/>
          <w:sz w:val="18"/>
        </w:rPr>
        <w:t>Kirchdorf</w:t>
      </w:r>
      <w:proofErr w:type="spellEnd"/>
      <w:r>
        <w:rPr>
          <w:rFonts w:ascii="Arial" w:hAnsi="Arial"/>
          <w:sz w:val="18"/>
        </w:rPr>
        <w:t xml:space="preserve"> </w:t>
      </w:r>
      <w:proofErr w:type="gramStart"/>
      <w:r>
        <w:rPr>
          <w:rFonts w:ascii="Arial" w:hAnsi="Arial"/>
          <w:sz w:val="18"/>
        </w:rPr>
        <w:t>an</w:t>
      </w:r>
      <w:proofErr w:type="gramEnd"/>
      <w:r>
        <w:rPr>
          <w:rFonts w:ascii="Arial" w:hAnsi="Arial"/>
          <w:sz w:val="18"/>
        </w:rPr>
        <w:t xml:space="preserve"> der </w:t>
      </w:r>
      <w:proofErr w:type="spellStart"/>
      <w:r>
        <w:rPr>
          <w:rFonts w:ascii="Arial" w:hAnsi="Arial"/>
          <w:sz w:val="18"/>
        </w:rPr>
        <w:t>Iller</w:t>
      </w:r>
      <w:proofErr w:type="spellEnd"/>
      <w:r>
        <w:rPr>
          <w:rFonts w:ascii="Arial" w:hAnsi="Arial"/>
          <w:sz w:val="18"/>
        </w:rPr>
        <w:t xml:space="preserve"> in southern Germany. Since then, its aim has been to win customers by supplying high quality solutions and to contribute to technological progress.</w:t>
      </w:r>
    </w:p>
    <w:p w14:paraId="42F50738" w14:textId="77777777" w:rsidR="00C07D60" w:rsidRDefault="00C07D60" w:rsidP="00C80967">
      <w:pPr>
        <w:spacing w:after="240" w:line="240" w:lineRule="exact"/>
        <w:rPr>
          <w:rFonts w:ascii="Arial" w:eastAsia="Times New Roman" w:hAnsi="Arial" w:cs="Times New Roman"/>
          <w:b/>
          <w:szCs w:val="18"/>
          <w:lang w:eastAsia="de-DE"/>
        </w:rPr>
      </w:pPr>
    </w:p>
    <w:p w14:paraId="4D22D6F8" w14:textId="77777777" w:rsidR="00C07D60" w:rsidRDefault="00C07D60" w:rsidP="00C80967">
      <w:pPr>
        <w:spacing w:after="240" w:line="240" w:lineRule="exact"/>
        <w:rPr>
          <w:rFonts w:ascii="Arial" w:eastAsia="Times New Roman" w:hAnsi="Arial" w:cs="Times New Roman"/>
          <w:b/>
          <w:szCs w:val="18"/>
          <w:lang w:eastAsia="de-DE"/>
        </w:rPr>
      </w:pPr>
    </w:p>
    <w:p w14:paraId="4C9DC9F3" w14:textId="77777777" w:rsidR="00C07D60" w:rsidRDefault="00C07D60" w:rsidP="00C80967">
      <w:pPr>
        <w:spacing w:after="240" w:line="240" w:lineRule="exact"/>
        <w:rPr>
          <w:rFonts w:ascii="Arial" w:eastAsia="Times New Roman" w:hAnsi="Arial" w:cs="Times New Roman"/>
          <w:b/>
          <w:szCs w:val="18"/>
          <w:lang w:eastAsia="de-DE"/>
        </w:rPr>
      </w:pPr>
    </w:p>
    <w:p w14:paraId="5C5951A8" w14:textId="77777777" w:rsidR="00C07D60" w:rsidRDefault="00C07D60" w:rsidP="00C80967">
      <w:pPr>
        <w:spacing w:after="240" w:line="240" w:lineRule="exact"/>
        <w:rPr>
          <w:rFonts w:ascii="Arial" w:eastAsia="Times New Roman" w:hAnsi="Arial" w:cs="Times New Roman"/>
          <w:b/>
          <w:szCs w:val="18"/>
          <w:lang w:eastAsia="de-DE"/>
        </w:rPr>
      </w:pPr>
    </w:p>
    <w:p w14:paraId="699E86D3" w14:textId="77777777" w:rsidR="00C07D60" w:rsidRDefault="00C07D60" w:rsidP="00C80967">
      <w:pPr>
        <w:spacing w:after="240" w:line="240" w:lineRule="exact"/>
        <w:rPr>
          <w:rFonts w:ascii="Arial" w:eastAsia="Times New Roman" w:hAnsi="Arial" w:cs="Times New Roman"/>
          <w:b/>
          <w:szCs w:val="18"/>
          <w:lang w:eastAsia="de-DE"/>
        </w:rPr>
      </w:pPr>
    </w:p>
    <w:p w14:paraId="01A742F8" w14:textId="77777777" w:rsidR="00C07D60" w:rsidRDefault="00C07D60" w:rsidP="00C80967">
      <w:pPr>
        <w:spacing w:after="240" w:line="240" w:lineRule="exact"/>
        <w:rPr>
          <w:rFonts w:ascii="Arial" w:eastAsia="Times New Roman" w:hAnsi="Arial" w:cs="Times New Roman"/>
          <w:b/>
          <w:szCs w:val="18"/>
          <w:lang w:eastAsia="de-DE"/>
        </w:rPr>
      </w:pPr>
    </w:p>
    <w:p w14:paraId="08C0D04E" w14:textId="77777777" w:rsidR="00C07D60" w:rsidRDefault="00C07D60" w:rsidP="00C80967">
      <w:pPr>
        <w:spacing w:after="240" w:line="240" w:lineRule="exact"/>
        <w:rPr>
          <w:rFonts w:ascii="Arial" w:eastAsia="Times New Roman" w:hAnsi="Arial" w:cs="Times New Roman"/>
          <w:b/>
          <w:szCs w:val="18"/>
          <w:lang w:eastAsia="de-DE"/>
        </w:rPr>
      </w:pPr>
    </w:p>
    <w:p w14:paraId="6803FA41" w14:textId="77777777" w:rsidR="00C07D60" w:rsidRDefault="00C07D60" w:rsidP="00C80967">
      <w:pPr>
        <w:spacing w:after="240" w:line="240" w:lineRule="exact"/>
        <w:rPr>
          <w:rFonts w:ascii="Arial" w:eastAsia="Times New Roman" w:hAnsi="Arial" w:cs="Times New Roman"/>
          <w:b/>
          <w:szCs w:val="18"/>
          <w:lang w:eastAsia="de-DE"/>
        </w:rPr>
      </w:pPr>
    </w:p>
    <w:p w14:paraId="7BA4849C" w14:textId="77777777" w:rsidR="00C07D60" w:rsidRDefault="00C07D60" w:rsidP="00C80967">
      <w:pPr>
        <w:spacing w:after="240" w:line="240" w:lineRule="exact"/>
        <w:rPr>
          <w:rFonts w:ascii="Arial" w:eastAsia="Times New Roman" w:hAnsi="Arial" w:cs="Times New Roman"/>
          <w:b/>
          <w:szCs w:val="18"/>
          <w:lang w:eastAsia="de-DE"/>
        </w:rPr>
      </w:pPr>
    </w:p>
    <w:p w14:paraId="718059E4" w14:textId="77777777" w:rsidR="00F7143A" w:rsidRPr="00C80967" w:rsidRDefault="00C80967" w:rsidP="00C80967">
      <w:pPr>
        <w:spacing w:after="240" w:line="240" w:lineRule="exact"/>
        <w:rPr>
          <w:rFonts w:ascii="Arial" w:eastAsia="Times New Roman" w:hAnsi="Arial" w:cs="Arial"/>
          <w:sz w:val="18"/>
          <w:szCs w:val="18"/>
        </w:rPr>
      </w:pPr>
      <w:r>
        <w:rPr>
          <w:rFonts w:ascii="Arial" w:hAnsi="Arial"/>
          <w:b/>
        </w:rPr>
        <w:lastRenderedPageBreak/>
        <w:t>Images</w:t>
      </w:r>
    </w:p>
    <w:p w14:paraId="64057E88" w14:textId="77777777" w:rsidR="00BB11D0" w:rsidRPr="003F30CF" w:rsidRDefault="00A03BA6" w:rsidP="00906B3B">
      <w:pPr>
        <w:pStyle w:val="Listenabsatz"/>
        <w:spacing w:after="300"/>
        <w:ind w:left="0"/>
        <w:rPr>
          <w:rFonts w:ascii="Arial" w:hAnsi="Arial" w:cs="Arial"/>
          <w:sz w:val="18"/>
          <w:szCs w:val="18"/>
        </w:rPr>
      </w:pPr>
      <w:r>
        <w:rPr>
          <w:rFonts w:ascii="Arial" w:hAnsi="Arial"/>
          <w:noProof/>
          <w:sz w:val="18"/>
          <w:lang w:val="de-DE"/>
        </w:rPr>
        <w:drawing>
          <wp:inline distT="0" distB="0" distL="0" distR="0" wp14:anchorId="2E0DB409" wp14:editId="5EC079A9">
            <wp:extent cx="3573340" cy="2380593"/>
            <wp:effectExtent l="0" t="0" r="8255" b="127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lg1750-global-02-96dpi.jpg"/>
                    <pic:cNvPicPr/>
                  </pic:nvPicPr>
                  <pic:blipFill>
                    <a:blip r:embed="rId11">
                      <a:extLst>
                        <a:ext uri="{28A0092B-C50C-407E-A947-70E740481C1C}">
                          <a14:useLocalDpi xmlns:a14="http://schemas.microsoft.com/office/drawing/2010/main" val="0"/>
                        </a:ext>
                      </a:extLst>
                    </a:blip>
                    <a:stretch>
                      <a:fillRect/>
                    </a:stretch>
                  </pic:blipFill>
                  <pic:spPr>
                    <a:xfrm>
                      <a:off x="0" y="0"/>
                      <a:ext cx="3593430" cy="2393977"/>
                    </a:xfrm>
                    <a:prstGeom prst="rect">
                      <a:avLst/>
                    </a:prstGeom>
                  </pic:spPr>
                </pic:pic>
              </a:graphicData>
            </a:graphic>
          </wp:inline>
        </w:drawing>
      </w:r>
      <w:r>
        <w:rPr>
          <w:rFonts w:ascii="Arial" w:hAnsi="Arial"/>
          <w:sz w:val="18"/>
        </w:rPr>
        <w:br/>
      </w:r>
      <w:proofErr w:type="gramStart"/>
      <w:r>
        <w:rPr>
          <w:rFonts w:ascii="Arial" w:hAnsi="Arial"/>
          <w:sz w:val="18"/>
        </w:rPr>
        <w:t>liebherr-lg1750-global-01.jpg</w:t>
      </w:r>
      <w:proofErr w:type="gramEnd"/>
      <w:r>
        <w:rPr>
          <w:rFonts w:ascii="Arial" w:hAnsi="Arial"/>
          <w:sz w:val="18"/>
        </w:rPr>
        <w:br/>
        <w:t>Global Wind Projects and Global Crane Services have now taken delivery of the second LG 1750 in their joint crane fleet.</w:t>
      </w:r>
    </w:p>
    <w:p w14:paraId="41D4073D" w14:textId="77777777" w:rsidR="00BB11D0" w:rsidRDefault="00C07D60" w:rsidP="00802113">
      <w:pPr>
        <w:pStyle w:val="Listenabsatz"/>
        <w:spacing w:after="300"/>
        <w:ind w:left="0"/>
        <w:rPr>
          <w:rFonts w:ascii="Arial" w:hAnsi="Arial" w:cs="Arial"/>
          <w:sz w:val="18"/>
          <w:szCs w:val="18"/>
        </w:rPr>
      </w:pPr>
      <w:r>
        <w:rPr>
          <w:rFonts w:ascii="Arial" w:hAnsi="Arial"/>
          <w:noProof/>
          <w:sz w:val="18"/>
          <w:lang w:val="de-DE"/>
        </w:rPr>
        <w:drawing>
          <wp:inline distT="0" distB="0" distL="0" distR="0" wp14:anchorId="190831AC" wp14:editId="6A664ED3">
            <wp:extent cx="3526012" cy="2349062"/>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ebherr-lg1750-global-01-96dpi.jpg"/>
                    <pic:cNvPicPr/>
                  </pic:nvPicPr>
                  <pic:blipFill>
                    <a:blip r:embed="rId12">
                      <a:extLst>
                        <a:ext uri="{28A0092B-C50C-407E-A947-70E740481C1C}">
                          <a14:useLocalDpi xmlns:a14="http://schemas.microsoft.com/office/drawing/2010/main" val="0"/>
                        </a:ext>
                      </a:extLst>
                    </a:blip>
                    <a:stretch>
                      <a:fillRect/>
                    </a:stretch>
                  </pic:blipFill>
                  <pic:spPr>
                    <a:xfrm>
                      <a:off x="0" y="0"/>
                      <a:ext cx="3532538" cy="2353410"/>
                    </a:xfrm>
                    <a:prstGeom prst="rect">
                      <a:avLst/>
                    </a:prstGeom>
                  </pic:spPr>
                </pic:pic>
              </a:graphicData>
            </a:graphic>
          </wp:inline>
        </w:drawing>
      </w:r>
    </w:p>
    <w:p w14:paraId="7E269536" w14:textId="77777777" w:rsidR="003F30CF" w:rsidRDefault="003F30CF" w:rsidP="00C80967">
      <w:pPr>
        <w:pStyle w:val="Listenabsatz"/>
        <w:spacing w:after="300"/>
        <w:ind w:left="0"/>
        <w:rPr>
          <w:rFonts w:ascii="Arial" w:hAnsi="Arial" w:cs="Arial"/>
          <w:sz w:val="18"/>
          <w:szCs w:val="18"/>
        </w:rPr>
      </w:pPr>
      <w:proofErr w:type="gramStart"/>
      <w:r>
        <w:rPr>
          <w:rFonts w:ascii="Arial" w:hAnsi="Arial"/>
          <w:sz w:val="18"/>
        </w:rPr>
        <w:t>liebherr-lg1750-global-02.jpg</w:t>
      </w:r>
      <w:proofErr w:type="gramEnd"/>
      <w:r>
        <w:rPr>
          <w:rFonts w:ascii="Arial" w:hAnsi="Arial"/>
          <w:sz w:val="18"/>
        </w:rPr>
        <w:br/>
        <w:t>The Liebherr LG 1750 lattice boom mobile crane is ideal for use in the wind power sector as well as for heavy-duty hoists in the field of industrial construction and infrastructure.</w:t>
      </w:r>
    </w:p>
    <w:p w14:paraId="29372198" w14:textId="77777777" w:rsidR="006228BF" w:rsidRPr="005D7837" w:rsidRDefault="001C1554" w:rsidP="003F30CF">
      <w:pPr>
        <w:spacing w:after="300" w:line="300" w:lineRule="exact"/>
        <w:rPr>
          <w:rFonts w:ascii="Arial" w:eastAsia="Times New Roman" w:hAnsi="Arial" w:cs="Times New Roman"/>
          <w:b/>
          <w:szCs w:val="18"/>
        </w:rPr>
      </w:pPr>
      <w:r>
        <w:rPr>
          <w:rFonts w:ascii="Arial" w:hAnsi="Arial"/>
          <w:b/>
        </w:rPr>
        <w:t>Contact</w:t>
      </w:r>
    </w:p>
    <w:p w14:paraId="43108A21" w14:textId="77777777" w:rsidR="006228BF" w:rsidRPr="005D7837" w:rsidRDefault="006228BF" w:rsidP="006228BF">
      <w:pPr>
        <w:spacing w:after="300" w:line="300" w:lineRule="exact"/>
        <w:rPr>
          <w:rFonts w:ascii="Arial" w:eastAsia="Times New Roman" w:hAnsi="Arial" w:cs="Times New Roman"/>
          <w:szCs w:val="18"/>
        </w:rPr>
      </w:pPr>
      <w:r>
        <w:rPr>
          <w:rFonts w:ascii="Arial" w:hAnsi="Arial"/>
        </w:rPr>
        <w:t>Wolfgang Beringer</w:t>
      </w:r>
      <w:r>
        <w:rPr>
          <w:rFonts w:ascii="Arial" w:hAnsi="Arial"/>
        </w:rPr>
        <w:br/>
        <w:t>Marketing and Communication</w:t>
      </w:r>
      <w:r>
        <w:rPr>
          <w:rFonts w:ascii="Arial" w:hAnsi="Arial"/>
        </w:rPr>
        <w:br/>
        <w:t>Phone: +49 7391/502 - 3663</w:t>
      </w:r>
      <w:r>
        <w:rPr>
          <w:rFonts w:ascii="Arial" w:hAnsi="Arial"/>
        </w:rPr>
        <w:br/>
        <w:t>Email: wolfgang.beringer@liebherr.com</w:t>
      </w:r>
    </w:p>
    <w:p w14:paraId="6C8FD985" w14:textId="77777777" w:rsidR="006228BF" w:rsidRPr="005D7837" w:rsidRDefault="006228BF" w:rsidP="006228BF">
      <w:pPr>
        <w:spacing w:after="300" w:line="300" w:lineRule="exact"/>
        <w:rPr>
          <w:rFonts w:ascii="Arial" w:eastAsia="Times New Roman" w:hAnsi="Arial" w:cs="Times New Roman"/>
          <w:b/>
          <w:szCs w:val="18"/>
        </w:rPr>
      </w:pPr>
      <w:r>
        <w:rPr>
          <w:rFonts w:ascii="Arial" w:hAnsi="Arial"/>
          <w:b/>
        </w:rPr>
        <w:t>Published by</w:t>
      </w:r>
    </w:p>
    <w:p w14:paraId="6598B2BC" w14:textId="77777777" w:rsidR="006228BF" w:rsidRPr="005D7837" w:rsidRDefault="006228BF" w:rsidP="0088513F">
      <w:pPr>
        <w:spacing w:after="300" w:line="300" w:lineRule="exact"/>
        <w:rPr>
          <w:rFonts w:ascii="Arial" w:eastAsia="Times New Roman" w:hAnsi="Arial" w:cs="Times New Roman"/>
          <w:szCs w:val="18"/>
        </w:rPr>
      </w:pPr>
      <w:r>
        <w:rPr>
          <w:rFonts w:ascii="Arial" w:hAnsi="Arial"/>
        </w:rPr>
        <w:t>Liebherr-</w:t>
      </w:r>
      <w:proofErr w:type="spellStart"/>
      <w:r>
        <w:rPr>
          <w:rFonts w:ascii="Arial" w:hAnsi="Arial"/>
        </w:rPr>
        <w:t>Werk</w:t>
      </w:r>
      <w:proofErr w:type="spellEnd"/>
      <w:r>
        <w:rPr>
          <w:rFonts w:ascii="Arial" w:hAnsi="Arial"/>
        </w:rPr>
        <w:t xml:space="preserve"> Ehingen GmbH</w:t>
      </w:r>
      <w:r>
        <w:rPr>
          <w:rFonts w:ascii="Arial" w:hAnsi="Arial"/>
        </w:rPr>
        <w:br/>
        <w:t>Ehingen (</w:t>
      </w:r>
      <w:proofErr w:type="spellStart"/>
      <w:r>
        <w:rPr>
          <w:rFonts w:ascii="Arial" w:hAnsi="Arial"/>
        </w:rPr>
        <w:t>Donau</w:t>
      </w:r>
      <w:proofErr w:type="spellEnd"/>
      <w:r>
        <w:rPr>
          <w:rFonts w:ascii="Arial" w:hAnsi="Arial"/>
        </w:rPr>
        <w:t>) / Germany</w:t>
      </w:r>
      <w:r>
        <w:rPr>
          <w:rFonts w:ascii="Arial" w:hAnsi="Arial"/>
        </w:rPr>
        <w:br/>
        <w:t>www.liebherr.com</w:t>
      </w:r>
      <w:bookmarkEnd w:id="0"/>
    </w:p>
    <w:sectPr w:rsidR="006228BF" w:rsidRPr="005D7837"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146E5" w14:textId="77777777" w:rsidR="00A96EFD" w:rsidRDefault="00A96EFD" w:rsidP="00B81ED6">
      <w:pPr>
        <w:spacing w:after="0" w:line="240" w:lineRule="auto"/>
      </w:pPr>
      <w:r>
        <w:separator/>
      </w:r>
    </w:p>
  </w:endnote>
  <w:endnote w:type="continuationSeparator" w:id="0">
    <w:p w14:paraId="28A9BBB9" w14:textId="77777777" w:rsidR="00A96EFD" w:rsidRDefault="00A96EFD"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B5140" w14:textId="77F11DE0" w:rsidR="002B54A5" w:rsidRPr="00E847CC" w:rsidRDefault="002B54A5"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D6F7E">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BD6F7E">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D6F7E">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430600">
      <w:rPr>
        <w:rFonts w:ascii="Arial" w:hAnsi="Arial" w:cs="Arial"/>
      </w:rPr>
      <w:fldChar w:fldCharType="separate"/>
    </w:r>
    <w:r w:rsidR="00BD6F7E">
      <w:rPr>
        <w:rFonts w:ascii="Arial" w:hAnsi="Arial" w:cs="Arial"/>
        <w:noProof/>
      </w:rPr>
      <w:t>2</w:t>
    </w:r>
    <w:r w:rsidR="00BD6F7E" w:rsidRPr="0093605C">
      <w:rPr>
        <w:rFonts w:ascii="Arial" w:hAnsi="Arial" w:cs="Arial"/>
        <w:noProof/>
      </w:rPr>
      <w:t>/</w:t>
    </w:r>
    <w:r w:rsidR="00BD6F7E">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1508A" w14:textId="77777777" w:rsidR="00A96EFD" w:rsidRDefault="00A96EFD" w:rsidP="00B81ED6">
      <w:pPr>
        <w:spacing w:after="0" w:line="240" w:lineRule="auto"/>
      </w:pPr>
      <w:r>
        <w:separator/>
      </w:r>
    </w:p>
  </w:footnote>
  <w:footnote w:type="continuationSeparator" w:id="0">
    <w:p w14:paraId="461F4D05" w14:textId="77777777" w:rsidR="00A96EFD" w:rsidRDefault="00A96EFD"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0C33A" w14:textId="77777777" w:rsidR="002B54A5" w:rsidRDefault="002B54A5">
    <w:pPr>
      <w:pStyle w:val="Kopfzeile"/>
    </w:pPr>
    <w:r>
      <w:tab/>
    </w:r>
    <w:r>
      <w:tab/>
    </w:r>
    <w:r>
      <w:ptab w:relativeTo="margin" w:alignment="right" w:leader="none"/>
    </w:r>
    <w:r>
      <w:rPr>
        <w:noProof/>
        <w:lang w:val="de-DE" w:eastAsia="de-DE"/>
      </w:rPr>
      <w:drawing>
        <wp:inline distT="0" distB="0" distL="0" distR="0" wp14:anchorId="68B7F012" wp14:editId="7381DD7E">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35BE5CD1" w14:textId="77777777" w:rsidR="002B54A5" w:rsidRDefault="002B54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BC8625C"/>
    <w:multiLevelType w:val="hybridMultilevel"/>
    <w:tmpl w:val="5CF20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4A90347D"/>
    <w:multiLevelType w:val="hybridMultilevel"/>
    <w:tmpl w:val="D92AD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B81ED6"/>
    <w:rsid w:val="00000E16"/>
    <w:rsid w:val="00007A44"/>
    <w:rsid w:val="00007DE3"/>
    <w:rsid w:val="0001019D"/>
    <w:rsid w:val="00031EA1"/>
    <w:rsid w:val="00033002"/>
    <w:rsid w:val="0003419C"/>
    <w:rsid w:val="00034EED"/>
    <w:rsid w:val="00035872"/>
    <w:rsid w:val="00036A44"/>
    <w:rsid w:val="0004596E"/>
    <w:rsid w:val="00046897"/>
    <w:rsid w:val="00066E54"/>
    <w:rsid w:val="000744EF"/>
    <w:rsid w:val="000747BD"/>
    <w:rsid w:val="00080353"/>
    <w:rsid w:val="000823BD"/>
    <w:rsid w:val="00091304"/>
    <w:rsid w:val="000925E9"/>
    <w:rsid w:val="00097E93"/>
    <w:rsid w:val="000A04AE"/>
    <w:rsid w:val="000A109E"/>
    <w:rsid w:val="000A141A"/>
    <w:rsid w:val="000A66FD"/>
    <w:rsid w:val="000C0B26"/>
    <w:rsid w:val="000C1192"/>
    <w:rsid w:val="000C67EC"/>
    <w:rsid w:val="000D02E3"/>
    <w:rsid w:val="000D6372"/>
    <w:rsid w:val="000E0551"/>
    <w:rsid w:val="000E3C3F"/>
    <w:rsid w:val="000E4A19"/>
    <w:rsid w:val="000F122B"/>
    <w:rsid w:val="000F33CB"/>
    <w:rsid w:val="000F4610"/>
    <w:rsid w:val="001009C9"/>
    <w:rsid w:val="001015D1"/>
    <w:rsid w:val="001107BD"/>
    <w:rsid w:val="0011138B"/>
    <w:rsid w:val="00111737"/>
    <w:rsid w:val="0012274D"/>
    <w:rsid w:val="0012604D"/>
    <w:rsid w:val="001261A3"/>
    <w:rsid w:val="00130686"/>
    <w:rsid w:val="00130B98"/>
    <w:rsid w:val="001369B9"/>
    <w:rsid w:val="0013755A"/>
    <w:rsid w:val="0014019F"/>
    <w:rsid w:val="001416F5"/>
    <w:rsid w:val="001419B4"/>
    <w:rsid w:val="00145DB7"/>
    <w:rsid w:val="001504E0"/>
    <w:rsid w:val="00151D53"/>
    <w:rsid w:val="00157767"/>
    <w:rsid w:val="001644ED"/>
    <w:rsid w:val="0016799F"/>
    <w:rsid w:val="00173684"/>
    <w:rsid w:val="00175B0E"/>
    <w:rsid w:val="00177746"/>
    <w:rsid w:val="0018187A"/>
    <w:rsid w:val="001853AD"/>
    <w:rsid w:val="0018608E"/>
    <w:rsid w:val="0018634A"/>
    <w:rsid w:val="00193F36"/>
    <w:rsid w:val="001A1AD7"/>
    <w:rsid w:val="001B3F3F"/>
    <w:rsid w:val="001B6F59"/>
    <w:rsid w:val="001C1554"/>
    <w:rsid w:val="001C3EA6"/>
    <w:rsid w:val="001D5C5D"/>
    <w:rsid w:val="001E165D"/>
    <w:rsid w:val="001E1962"/>
    <w:rsid w:val="001E32E3"/>
    <w:rsid w:val="001E5F36"/>
    <w:rsid w:val="001E7BA2"/>
    <w:rsid w:val="001F78DC"/>
    <w:rsid w:val="00205627"/>
    <w:rsid w:val="002073EE"/>
    <w:rsid w:val="00213C85"/>
    <w:rsid w:val="002147DF"/>
    <w:rsid w:val="00216BF5"/>
    <w:rsid w:val="00233CA7"/>
    <w:rsid w:val="00234851"/>
    <w:rsid w:val="00236D59"/>
    <w:rsid w:val="0024163B"/>
    <w:rsid w:val="002438ED"/>
    <w:rsid w:val="0024585A"/>
    <w:rsid w:val="00246D82"/>
    <w:rsid w:val="00246F8C"/>
    <w:rsid w:val="0024708A"/>
    <w:rsid w:val="00252431"/>
    <w:rsid w:val="002541B4"/>
    <w:rsid w:val="00265534"/>
    <w:rsid w:val="0027490E"/>
    <w:rsid w:val="00274AEA"/>
    <w:rsid w:val="00281FBB"/>
    <w:rsid w:val="00295A44"/>
    <w:rsid w:val="002A299B"/>
    <w:rsid w:val="002A5020"/>
    <w:rsid w:val="002B0E96"/>
    <w:rsid w:val="002B4DEA"/>
    <w:rsid w:val="002B54A5"/>
    <w:rsid w:val="002D6AB5"/>
    <w:rsid w:val="002E7582"/>
    <w:rsid w:val="002F1757"/>
    <w:rsid w:val="00301A23"/>
    <w:rsid w:val="00307F4C"/>
    <w:rsid w:val="00317630"/>
    <w:rsid w:val="003218B7"/>
    <w:rsid w:val="00323235"/>
    <w:rsid w:val="00323EAB"/>
    <w:rsid w:val="0032490C"/>
    <w:rsid w:val="0032716B"/>
    <w:rsid w:val="003271EF"/>
    <w:rsid w:val="00327301"/>
    <w:rsid w:val="00327624"/>
    <w:rsid w:val="003524D2"/>
    <w:rsid w:val="00361B58"/>
    <w:rsid w:val="00362849"/>
    <w:rsid w:val="00362A9E"/>
    <w:rsid w:val="003631C6"/>
    <w:rsid w:val="00363E5C"/>
    <w:rsid w:val="00364319"/>
    <w:rsid w:val="00365B08"/>
    <w:rsid w:val="00381F13"/>
    <w:rsid w:val="00385070"/>
    <w:rsid w:val="00386097"/>
    <w:rsid w:val="00387405"/>
    <w:rsid w:val="003936A6"/>
    <w:rsid w:val="00393830"/>
    <w:rsid w:val="003938EF"/>
    <w:rsid w:val="00396FFA"/>
    <w:rsid w:val="003A03B0"/>
    <w:rsid w:val="003B6450"/>
    <w:rsid w:val="003C2160"/>
    <w:rsid w:val="003C47FD"/>
    <w:rsid w:val="003D54CC"/>
    <w:rsid w:val="003E7818"/>
    <w:rsid w:val="003F30CF"/>
    <w:rsid w:val="003F44D0"/>
    <w:rsid w:val="003F6706"/>
    <w:rsid w:val="004058E8"/>
    <w:rsid w:val="00413A54"/>
    <w:rsid w:val="004148DB"/>
    <w:rsid w:val="00415D77"/>
    <w:rsid w:val="004249E1"/>
    <w:rsid w:val="00424A81"/>
    <w:rsid w:val="00430600"/>
    <w:rsid w:val="00435D35"/>
    <w:rsid w:val="00447060"/>
    <w:rsid w:val="0045234E"/>
    <w:rsid w:val="00462341"/>
    <w:rsid w:val="00466A15"/>
    <w:rsid w:val="00477E12"/>
    <w:rsid w:val="00482329"/>
    <w:rsid w:val="00485C48"/>
    <w:rsid w:val="00492DBB"/>
    <w:rsid w:val="0049430A"/>
    <w:rsid w:val="004A1CB8"/>
    <w:rsid w:val="004A41BB"/>
    <w:rsid w:val="004B2A46"/>
    <w:rsid w:val="004B3E6B"/>
    <w:rsid w:val="004C04E4"/>
    <w:rsid w:val="004C4B9A"/>
    <w:rsid w:val="004C557B"/>
    <w:rsid w:val="004D5133"/>
    <w:rsid w:val="004D5929"/>
    <w:rsid w:val="004E4365"/>
    <w:rsid w:val="004E5E69"/>
    <w:rsid w:val="004E7284"/>
    <w:rsid w:val="004F482E"/>
    <w:rsid w:val="00504D85"/>
    <w:rsid w:val="00520C2C"/>
    <w:rsid w:val="00533F42"/>
    <w:rsid w:val="005357DA"/>
    <w:rsid w:val="00537972"/>
    <w:rsid w:val="005428DA"/>
    <w:rsid w:val="00544004"/>
    <w:rsid w:val="00547729"/>
    <w:rsid w:val="005530EE"/>
    <w:rsid w:val="005548E0"/>
    <w:rsid w:val="005564BE"/>
    <w:rsid w:val="00556698"/>
    <w:rsid w:val="00566F04"/>
    <w:rsid w:val="00573547"/>
    <w:rsid w:val="00577041"/>
    <w:rsid w:val="005811D9"/>
    <w:rsid w:val="00584F54"/>
    <w:rsid w:val="005853EE"/>
    <w:rsid w:val="00585BA9"/>
    <w:rsid w:val="00592594"/>
    <w:rsid w:val="00594D22"/>
    <w:rsid w:val="00595E42"/>
    <w:rsid w:val="005B189E"/>
    <w:rsid w:val="005C7F24"/>
    <w:rsid w:val="005D7837"/>
    <w:rsid w:val="005E304D"/>
    <w:rsid w:val="005E3773"/>
    <w:rsid w:val="005E79D3"/>
    <w:rsid w:val="005F1AC2"/>
    <w:rsid w:val="005F6F7B"/>
    <w:rsid w:val="005F7074"/>
    <w:rsid w:val="00602927"/>
    <w:rsid w:val="00611C5E"/>
    <w:rsid w:val="00614F0E"/>
    <w:rsid w:val="006164FD"/>
    <w:rsid w:val="006228BF"/>
    <w:rsid w:val="00627CA6"/>
    <w:rsid w:val="00631B86"/>
    <w:rsid w:val="006346B7"/>
    <w:rsid w:val="00652E53"/>
    <w:rsid w:val="006532BD"/>
    <w:rsid w:val="0066132C"/>
    <w:rsid w:val="00664D6C"/>
    <w:rsid w:val="006665D4"/>
    <w:rsid w:val="006824DF"/>
    <w:rsid w:val="006860BE"/>
    <w:rsid w:val="00687977"/>
    <w:rsid w:val="006911DB"/>
    <w:rsid w:val="00694395"/>
    <w:rsid w:val="006949AD"/>
    <w:rsid w:val="00695A45"/>
    <w:rsid w:val="006A0BA3"/>
    <w:rsid w:val="006A1724"/>
    <w:rsid w:val="006A58F7"/>
    <w:rsid w:val="006B3786"/>
    <w:rsid w:val="006B573F"/>
    <w:rsid w:val="006B5C7C"/>
    <w:rsid w:val="006C5B24"/>
    <w:rsid w:val="006C676B"/>
    <w:rsid w:val="006D4E80"/>
    <w:rsid w:val="006E25BD"/>
    <w:rsid w:val="006E37B4"/>
    <w:rsid w:val="006E4367"/>
    <w:rsid w:val="006F71BD"/>
    <w:rsid w:val="0070344C"/>
    <w:rsid w:val="007055E6"/>
    <w:rsid w:val="0070698F"/>
    <w:rsid w:val="00710B22"/>
    <w:rsid w:val="00710C71"/>
    <w:rsid w:val="007235BC"/>
    <w:rsid w:val="00730646"/>
    <w:rsid w:val="00730D75"/>
    <w:rsid w:val="0073218B"/>
    <w:rsid w:val="00733BD5"/>
    <w:rsid w:val="00735924"/>
    <w:rsid w:val="00744D71"/>
    <w:rsid w:val="007459FB"/>
    <w:rsid w:val="00747169"/>
    <w:rsid w:val="0074751F"/>
    <w:rsid w:val="00750C64"/>
    <w:rsid w:val="007536D8"/>
    <w:rsid w:val="007543B7"/>
    <w:rsid w:val="0075627B"/>
    <w:rsid w:val="00756746"/>
    <w:rsid w:val="00757235"/>
    <w:rsid w:val="00761197"/>
    <w:rsid w:val="0076325F"/>
    <w:rsid w:val="00763902"/>
    <w:rsid w:val="007734BE"/>
    <w:rsid w:val="007743F0"/>
    <w:rsid w:val="00775D00"/>
    <w:rsid w:val="00783244"/>
    <w:rsid w:val="00783DE9"/>
    <w:rsid w:val="00793DCE"/>
    <w:rsid w:val="007A3A3A"/>
    <w:rsid w:val="007A4872"/>
    <w:rsid w:val="007B324A"/>
    <w:rsid w:val="007B397E"/>
    <w:rsid w:val="007C2DD9"/>
    <w:rsid w:val="007C4218"/>
    <w:rsid w:val="007C4430"/>
    <w:rsid w:val="007D3AF5"/>
    <w:rsid w:val="007E695F"/>
    <w:rsid w:val="007F2586"/>
    <w:rsid w:val="007F32F5"/>
    <w:rsid w:val="007F5768"/>
    <w:rsid w:val="00802113"/>
    <w:rsid w:val="00802F62"/>
    <w:rsid w:val="0080405C"/>
    <w:rsid w:val="008060C5"/>
    <w:rsid w:val="00811F2B"/>
    <w:rsid w:val="00812927"/>
    <w:rsid w:val="00816793"/>
    <w:rsid w:val="00821B56"/>
    <w:rsid w:val="00823672"/>
    <w:rsid w:val="00824226"/>
    <w:rsid w:val="00827B5A"/>
    <w:rsid w:val="00830FD6"/>
    <w:rsid w:val="00831A4B"/>
    <w:rsid w:val="008372FE"/>
    <w:rsid w:val="0084358F"/>
    <w:rsid w:val="00847C73"/>
    <w:rsid w:val="00851117"/>
    <w:rsid w:val="00853962"/>
    <w:rsid w:val="0086217B"/>
    <w:rsid w:val="00866D7D"/>
    <w:rsid w:val="008732D6"/>
    <w:rsid w:val="008834E2"/>
    <w:rsid w:val="0088513F"/>
    <w:rsid w:val="00885628"/>
    <w:rsid w:val="00886F31"/>
    <w:rsid w:val="00892EB8"/>
    <w:rsid w:val="00893F61"/>
    <w:rsid w:val="008A56AA"/>
    <w:rsid w:val="008B0B0D"/>
    <w:rsid w:val="008B2FA0"/>
    <w:rsid w:val="008B7C2C"/>
    <w:rsid w:val="008C0D9C"/>
    <w:rsid w:val="008C1B17"/>
    <w:rsid w:val="008C6A78"/>
    <w:rsid w:val="008D6E56"/>
    <w:rsid w:val="008E170C"/>
    <w:rsid w:val="008E6958"/>
    <w:rsid w:val="008E6B1E"/>
    <w:rsid w:val="008F29A5"/>
    <w:rsid w:val="008F586F"/>
    <w:rsid w:val="008F7489"/>
    <w:rsid w:val="00900C6D"/>
    <w:rsid w:val="00906B3B"/>
    <w:rsid w:val="00907C34"/>
    <w:rsid w:val="0091035D"/>
    <w:rsid w:val="00914BEC"/>
    <w:rsid w:val="009169F9"/>
    <w:rsid w:val="0091786C"/>
    <w:rsid w:val="009209EE"/>
    <w:rsid w:val="00921FCF"/>
    <w:rsid w:val="00925B42"/>
    <w:rsid w:val="00932178"/>
    <w:rsid w:val="009330B7"/>
    <w:rsid w:val="0093605C"/>
    <w:rsid w:val="00941910"/>
    <w:rsid w:val="00942E1B"/>
    <w:rsid w:val="00944E7E"/>
    <w:rsid w:val="009474D0"/>
    <w:rsid w:val="0095229E"/>
    <w:rsid w:val="009546B3"/>
    <w:rsid w:val="00965077"/>
    <w:rsid w:val="00967FB1"/>
    <w:rsid w:val="0097130E"/>
    <w:rsid w:val="009718F1"/>
    <w:rsid w:val="009723A2"/>
    <w:rsid w:val="0097521B"/>
    <w:rsid w:val="00976B80"/>
    <w:rsid w:val="00984516"/>
    <w:rsid w:val="0098466E"/>
    <w:rsid w:val="009A1C39"/>
    <w:rsid w:val="009A2C41"/>
    <w:rsid w:val="009A3D17"/>
    <w:rsid w:val="009B2417"/>
    <w:rsid w:val="009B5053"/>
    <w:rsid w:val="009C2A05"/>
    <w:rsid w:val="009C2A7F"/>
    <w:rsid w:val="009C4D51"/>
    <w:rsid w:val="009C5E5E"/>
    <w:rsid w:val="009D4369"/>
    <w:rsid w:val="009D6154"/>
    <w:rsid w:val="009E1CC3"/>
    <w:rsid w:val="009E27D6"/>
    <w:rsid w:val="009E29F3"/>
    <w:rsid w:val="009F0240"/>
    <w:rsid w:val="009F5B06"/>
    <w:rsid w:val="009F5B6A"/>
    <w:rsid w:val="009F5D0A"/>
    <w:rsid w:val="009F766C"/>
    <w:rsid w:val="00A0176F"/>
    <w:rsid w:val="00A03BA6"/>
    <w:rsid w:val="00A11FE9"/>
    <w:rsid w:val="00A21FC6"/>
    <w:rsid w:val="00A27C07"/>
    <w:rsid w:val="00A323E7"/>
    <w:rsid w:val="00A411EA"/>
    <w:rsid w:val="00A432C0"/>
    <w:rsid w:val="00A467A3"/>
    <w:rsid w:val="00A579C0"/>
    <w:rsid w:val="00A60FDE"/>
    <w:rsid w:val="00A648E1"/>
    <w:rsid w:val="00A65EE2"/>
    <w:rsid w:val="00A72070"/>
    <w:rsid w:val="00A72477"/>
    <w:rsid w:val="00A72676"/>
    <w:rsid w:val="00A76962"/>
    <w:rsid w:val="00A77449"/>
    <w:rsid w:val="00A805AD"/>
    <w:rsid w:val="00A843A4"/>
    <w:rsid w:val="00A84A3F"/>
    <w:rsid w:val="00A85747"/>
    <w:rsid w:val="00A87B82"/>
    <w:rsid w:val="00A92806"/>
    <w:rsid w:val="00A96EFD"/>
    <w:rsid w:val="00AA0481"/>
    <w:rsid w:val="00AA64D1"/>
    <w:rsid w:val="00AA6A2B"/>
    <w:rsid w:val="00AA6E9E"/>
    <w:rsid w:val="00AA7402"/>
    <w:rsid w:val="00AA7D68"/>
    <w:rsid w:val="00AB0B99"/>
    <w:rsid w:val="00AB62FD"/>
    <w:rsid w:val="00AB6A50"/>
    <w:rsid w:val="00AB71F8"/>
    <w:rsid w:val="00AC10D4"/>
    <w:rsid w:val="00AC2129"/>
    <w:rsid w:val="00AC6B02"/>
    <w:rsid w:val="00AE1010"/>
    <w:rsid w:val="00AF1D04"/>
    <w:rsid w:val="00AF1EAD"/>
    <w:rsid w:val="00AF1F99"/>
    <w:rsid w:val="00B07C20"/>
    <w:rsid w:val="00B14127"/>
    <w:rsid w:val="00B30440"/>
    <w:rsid w:val="00B332FD"/>
    <w:rsid w:val="00B33FB3"/>
    <w:rsid w:val="00B41CF9"/>
    <w:rsid w:val="00B444AB"/>
    <w:rsid w:val="00B47F3C"/>
    <w:rsid w:val="00B51BEA"/>
    <w:rsid w:val="00B528F2"/>
    <w:rsid w:val="00B63150"/>
    <w:rsid w:val="00B63ACF"/>
    <w:rsid w:val="00B646F2"/>
    <w:rsid w:val="00B65870"/>
    <w:rsid w:val="00B67C62"/>
    <w:rsid w:val="00B72B10"/>
    <w:rsid w:val="00B74A60"/>
    <w:rsid w:val="00B772DC"/>
    <w:rsid w:val="00B77385"/>
    <w:rsid w:val="00B81ED6"/>
    <w:rsid w:val="00B82B13"/>
    <w:rsid w:val="00B831DB"/>
    <w:rsid w:val="00B86F61"/>
    <w:rsid w:val="00B9070F"/>
    <w:rsid w:val="00B9781C"/>
    <w:rsid w:val="00B97D38"/>
    <w:rsid w:val="00BA25CA"/>
    <w:rsid w:val="00BA29F2"/>
    <w:rsid w:val="00BA5062"/>
    <w:rsid w:val="00BA66A4"/>
    <w:rsid w:val="00BB065A"/>
    <w:rsid w:val="00BB0BFF"/>
    <w:rsid w:val="00BB11D0"/>
    <w:rsid w:val="00BB25C9"/>
    <w:rsid w:val="00BB3EFD"/>
    <w:rsid w:val="00BB43F2"/>
    <w:rsid w:val="00BC58DC"/>
    <w:rsid w:val="00BC65DC"/>
    <w:rsid w:val="00BD16EC"/>
    <w:rsid w:val="00BD3A29"/>
    <w:rsid w:val="00BD6887"/>
    <w:rsid w:val="00BD6F7E"/>
    <w:rsid w:val="00BD7045"/>
    <w:rsid w:val="00BE22A3"/>
    <w:rsid w:val="00BE241A"/>
    <w:rsid w:val="00BE2EFB"/>
    <w:rsid w:val="00BE472D"/>
    <w:rsid w:val="00BE730A"/>
    <w:rsid w:val="00BF3F91"/>
    <w:rsid w:val="00BF791D"/>
    <w:rsid w:val="00C03F30"/>
    <w:rsid w:val="00C04BEF"/>
    <w:rsid w:val="00C07D60"/>
    <w:rsid w:val="00C103C3"/>
    <w:rsid w:val="00C25EB9"/>
    <w:rsid w:val="00C26C00"/>
    <w:rsid w:val="00C300C3"/>
    <w:rsid w:val="00C332B5"/>
    <w:rsid w:val="00C41EF6"/>
    <w:rsid w:val="00C44489"/>
    <w:rsid w:val="00C464EC"/>
    <w:rsid w:val="00C46906"/>
    <w:rsid w:val="00C61E52"/>
    <w:rsid w:val="00C628A0"/>
    <w:rsid w:val="00C665F8"/>
    <w:rsid w:val="00C77574"/>
    <w:rsid w:val="00C80967"/>
    <w:rsid w:val="00C812E2"/>
    <w:rsid w:val="00C84A76"/>
    <w:rsid w:val="00C91F78"/>
    <w:rsid w:val="00C95A07"/>
    <w:rsid w:val="00CA4280"/>
    <w:rsid w:val="00CA4788"/>
    <w:rsid w:val="00CA75FB"/>
    <w:rsid w:val="00CA7C56"/>
    <w:rsid w:val="00CB1025"/>
    <w:rsid w:val="00CB1E46"/>
    <w:rsid w:val="00CB359E"/>
    <w:rsid w:val="00CB3C86"/>
    <w:rsid w:val="00CB456D"/>
    <w:rsid w:val="00CC0BF7"/>
    <w:rsid w:val="00CC1A50"/>
    <w:rsid w:val="00CC5070"/>
    <w:rsid w:val="00CC6B94"/>
    <w:rsid w:val="00CD1D59"/>
    <w:rsid w:val="00CD33F7"/>
    <w:rsid w:val="00CD4C9F"/>
    <w:rsid w:val="00CD53A6"/>
    <w:rsid w:val="00CD6A37"/>
    <w:rsid w:val="00CE10E0"/>
    <w:rsid w:val="00CE1D11"/>
    <w:rsid w:val="00CE6CE0"/>
    <w:rsid w:val="00CE7757"/>
    <w:rsid w:val="00CF33D5"/>
    <w:rsid w:val="00CF6CFC"/>
    <w:rsid w:val="00CF6D36"/>
    <w:rsid w:val="00D02820"/>
    <w:rsid w:val="00D063D8"/>
    <w:rsid w:val="00D07004"/>
    <w:rsid w:val="00D10D06"/>
    <w:rsid w:val="00D1286A"/>
    <w:rsid w:val="00D16CEF"/>
    <w:rsid w:val="00D21E22"/>
    <w:rsid w:val="00D25F2F"/>
    <w:rsid w:val="00D30DA6"/>
    <w:rsid w:val="00D34B59"/>
    <w:rsid w:val="00D35BFA"/>
    <w:rsid w:val="00D36FB1"/>
    <w:rsid w:val="00D462C1"/>
    <w:rsid w:val="00D50789"/>
    <w:rsid w:val="00D53A2B"/>
    <w:rsid w:val="00D60401"/>
    <w:rsid w:val="00D63755"/>
    <w:rsid w:val="00D63B50"/>
    <w:rsid w:val="00D660BC"/>
    <w:rsid w:val="00D71411"/>
    <w:rsid w:val="00D728A6"/>
    <w:rsid w:val="00D75D6D"/>
    <w:rsid w:val="00D76562"/>
    <w:rsid w:val="00D76BFC"/>
    <w:rsid w:val="00D77AA2"/>
    <w:rsid w:val="00D83E6F"/>
    <w:rsid w:val="00D93257"/>
    <w:rsid w:val="00D96F4C"/>
    <w:rsid w:val="00DA19EB"/>
    <w:rsid w:val="00DA5DBE"/>
    <w:rsid w:val="00DB38BA"/>
    <w:rsid w:val="00DC0D6D"/>
    <w:rsid w:val="00DC2550"/>
    <w:rsid w:val="00DC3CCF"/>
    <w:rsid w:val="00DC7D6B"/>
    <w:rsid w:val="00DE3AEA"/>
    <w:rsid w:val="00DE4E92"/>
    <w:rsid w:val="00DE6B65"/>
    <w:rsid w:val="00DF3078"/>
    <w:rsid w:val="00DF40C0"/>
    <w:rsid w:val="00E060F1"/>
    <w:rsid w:val="00E1260E"/>
    <w:rsid w:val="00E23EA4"/>
    <w:rsid w:val="00E260E6"/>
    <w:rsid w:val="00E2770C"/>
    <w:rsid w:val="00E32363"/>
    <w:rsid w:val="00E42BD3"/>
    <w:rsid w:val="00E4327C"/>
    <w:rsid w:val="00E450E3"/>
    <w:rsid w:val="00E479E6"/>
    <w:rsid w:val="00E516C8"/>
    <w:rsid w:val="00E52803"/>
    <w:rsid w:val="00E52C50"/>
    <w:rsid w:val="00E55139"/>
    <w:rsid w:val="00E6156C"/>
    <w:rsid w:val="00E674F3"/>
    <w:rsid w:val="00E734FA"/>
    <w:rsid w:val="00E74E43"/>
    <w:rsid w:val="00E81693"/>
    <w:rsid w:val="00E819DE"/>
    <w:rsid w:val="00E840F5"/>
    <w:rsid w:val="00E847CC"/>
    <w:rsid w:val="00E91C23"/>
    <w:rsid w:val="00E9294F"/>
    <w:rsid w:val="00EA09F3"/>
    <w:rsid w:val="00EA26F3"/>
    <w:rsid w:val="00EA52D4"/>
    <w:rsid w:val="00EA5CF5"/>
    <w:rsid w:val="00EA6050"/>
    <w:rsid w:val="00EA6203"/>
    <w:rsid w:val="00EB2684"/>
    <w:rsid w:val="00EB7457"/>
    <w:rsid w:val="00EE00F3"/>
    <w:rsid w:val="00EE07DC"/>
    <w:rsid w:val="00EE0DC8"/>
    <w:rsid w:val="00EE1B93"/>
    <w:rsid w:val="00EE6B82"/>
    <w:rsid w:val="00EF1532"/>
    <w:rsid w:val="00EF574C"/>
    <w:rsid w:val="00F07120"/>
    <w:rsid w:val="00F07301"/>
    <w:rsid w:val="00F14828"/>
    <w:rsid w:val="00F17936"/>
    <w:rsid w:val="00F207C9"/>
    <w:rsid w:val="00F22D3B"/>
    <w:rsid w:val="00F24116"/>
    <w:rsid w:val="00F40615"/>
    <w:rsid w:val="00F40E96"/>
    <w:rsid w:val="00F4259A"/>
    <w:rsid w:val="00F45E57"/>
    <w:rsid w:val="00F45FEE"/>
    <w:rsid w:val="00F47226"/>
    <w:rsid w:val="00F5327A"/>
    <w:rsid w:val="00F55930"/>
    <w:rsid w:val="00F55B14"/>
    <w:rsid w:val="00F667DE"/>
    <w:rsid w:val="00F66E4B"/>
    <w:rsid w:val="00F7143A"/>
    <w:rsid w:val="00F72FBB"/>
    <w:rsid w:val="00F737EA"/>
    <w:rsid w:val="00F77059"/>
    <w:rsid w:val="00F81B6B"/>
    <w:rsid w:val="00F84DAD"/>
    <w:rsid w:val="00F86814"/>
    <w:rsid w:val="00F93866"/>
    <w:rsid w:val="00F94F90"/>
    <w:rsid w:val="00F95D29"/>
    <w:rsid w:val="00F976BB"/>
    <w:rsid w:val="00FA1662"/>
    <w:rsid w:val="00FA4FAF"/>
    <w:rsid w:val="00FC4FB9"/>
    <w:rsid w:val="00FC72B5"/>
    <w:rsid w:val="00FD1273"/>
    <w:rsid w:val="00FE70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B6E5B6"/>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66132C"/>
  </w:style>
  <w:style w:type="paragraph" w:styleId="berschrift1">
    <w:name w:val="heading 1"/>
    <w:basedOn w:val="Standard"/>
    <w:next w:val="Standard"/>
    <w:link w:val="berschrift1Zchn"/>
    <w:uiPriority w:val="9"/>
    <w:rsid w:val="000101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link w:val="berschrift3Zchn"/>
    <w:uiPriority w:val="9"/>
    <w:qFormat/>
    <w:rsid w:val="00C41EF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styleId="Listenabsatz">
    <w:name w:val="List Paragraph"/>
    <w:basedOn w:val="Standard"/>
    <w:uiPriority w:val="34"/>
    <w:qFormat/>
    <w:rsid w:val="00907C34"/>
    <w:pPr>
      <w:spacing w:after="0" w:line="240" w:lineRule="auto"/>
      <w:ind w:left="720"/>
    </w:pPr>
    <w:rPr>
      <w:rFonts w:ascii="Calibri" w:eastAsiaTheme="minorHAnsi" w:hAnsi="Calibri" w:cs="Calibri"/>
      <w:lang w:eastAsia="de-DE"/>
    </w:rPr>
  </w:style>
  <w:style w:type="character" w:styleId="Kommentarzeichen">
    <w:name w:val="annotation reference"/>
    <w:basedOn w:val="Absatz-Standardschriftart"/>
    <w:uiPriority w:val="99"/>
    <w:semiHidden/>
    <w:unhideWhenUsed/>
    <w:rsid w:val="00213C85"/>
    <w:rPr>
      <w:sz w:val="16"/>
      <w:szCs w:val="16"/>
    </w:rPr>
  </w:style>
  <w:style w:type="paragraph" w:styleId="Kommentartext">
    <w:name w:val="annotation text"/>
    <w:basedOn w:val="Standard"/>
    <w:link w:val="KommentartextZchn"/>
    <w:uiPriority w:val="99"/>
    <w:unhideWhenUsed/>
    <w:rsid w:val="00213C85"/>
    <w:pPr>
      <w:spacing w:line="240" w:lineRule="auto"/>
    </w:pPr>
    <w:rPr>
      <w:sz w:val="20"/>
      <w:szCs w:val="20"/>
    </w:rPr>
  </w:style>
  <w:style w:type="character" w:customStyle="1" w:styleId="KommentartextZchn">
    <w:name w:val="Kommentartext Zchn"/>
    <w:basedOn w:val="Absatz-Standardschriftart"/>
    <w:link w:val="Kommentartext"/>
    <w:uiPriority w:val="99"/>
    <w:rsid w:val="00213C85"/>
    <w:rPr>
      <w:sz w:val="20"/>
      <w:szCs w:val="20"/>
    </w:rPr>
  </w:style>
  <w:style w:type="paragraph" w:styleId="Kommentarthema">
    <w:name w:val="annotation subject"/>
    <w:basedOn w:val="Kommentartext"/>
    <w:next w:val="Kommentartext"/>
    <w:link w:val="KommentarthemaZchn"/>
    <w:uiPriority w:val="99"/>
    <w:semiHidden/>
    <w:unhideWhenUsed/>
    <w:rsid w:val="00213C85"/>
    <w:rPr>
      <w:b/>
      <w:bCs/>
    </w:rPr>
  </w:style>
  <w:style w:type="character" w:customStyle="1" w:styleId="KommentarthemaZchn">
    <w:name w:val="Kommentarthema Zchn"/>
    <w:basedOn w:val="KommentartextZchn"/>
    <w:link w:val="Kommentarthema"/>
    <w:uiPriority w:val="99"/>
    <w:semiHidden/>
    <w:rsid w:val="00213C85"/>
    <w:rPr>
      <w:b/>
      <w:bCs/>
      <w:sz w:val="20"/>
      <w:szCs w:val="20"/>
    </w:rPr>
  </w:style>
  <w:style w:type="paragraph" w:styleId="StandardWeb">
    <w:name w:val="Normal (Web)"/>
    <w:basedOn w:val="Standard"/>
    <w:uiPriority w:val="99"/>
    <w:semiHidden/>
    <w:unhideWhenUsed/>
    <w:rsid w:val="004A41BB"/>
    <w:pPr>
      <w:spacing w:before="100" w:beforeAutospacing="1" w:after="100" w:afterAutospacing="1" w:line="240" w:lineRule="auto"/>
    </w:pPr>
    <w:rPr>
      <w:rFonts w:ascii="Times New Roman" w:eastAsiaTheme="minorHAnsi" w:hAnsi="Times New Roman" w:cs="Times New Roman"/>
      <w:sz w:val="24"/>
      <w:szCs w:val="24"/>
      <w:lang w:eastAsia="de-DE"/>
    </w:rPr>
  </w:style>
  <w:style w:type="character" w:customStyle="1" w:styleId="NichtaufgelsteErwhnung1">
    <w:name w:val="Nicht aufgelöste Erwähnung1"/>
    <w:basedOn w:val="Absatz-Standardschriftart"/>
    <w:uiPriority w:val="99"/>
    <w:semiHidden/>
    <w:unhideWhenUsed/>
    <w:rsid w:val="008060C5"/>
    <w:rPr>
      <w:color w:val="605E5C"/>
      <w:shd w:val="clear" w:color="auto" w:fill="E1DFDD"/>
    </w:rPr>
  </w:style>
  <w:style w:type="character" w:customStyle="1" w:styleId="berschrift3Zchn">
    <w:name w:val="Überschrift 3 Zchn"/>
    <w:basedOn w:val="Absatz-Standardschriftart"/>
    <w:link w:val="berschrift3"/>
    <w:uiPriority w:val="9"/>
    <w:rsid w:val="00C41EF6"/>
    <w:rPr>
      <w:rFonts w:ascii="Times New Roman" w:eastAsia="Times New Roman" w:hAnsi="Times New Roman" w:cs="Times New Roman"/>
      <w:b/>
      <w:bCs/>
      <w:sz w:val="27"/>
      <w:szCs w:val="27"/>
      <w:lang w:eastAsia="de-DE"/>
    </w:rPr>
  </w:style>
  <w:style w:type="paragraph" w:customStyle="1" w:styleId="LHbase-type11ptbold">
    <w:name w:val="LH_base-type 11pt bold"/>
    <w:basedOn w:val="LHbase-type11ptregular"/>
    <w:qFormat/>
    <w:rsid w:val="00A65EE2"/>
    <w:rPr>
      <w:b/>
    </w:rPr>
  </w:style>
  <w:style w:type="paragraph" w:customStyle="1" w:styleId="LHbase-type11ptregular">
    <w:name w:val="LH_base-type 11pt regular"/>
    <w:qFormat/>
    <w:rsid w:val="00A65EE2"/>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berarbeitung">
    <w:name w:val="Revision"/>
    <w:hidden/>
    <w:uiPriority w:val="99"/>
    <w:semiHidden/>
    <w:rsid w:val="00F94F90"/>
    <w:pPr>
      <w:spacing w:after="0" w:line="240" w:lineRule="auto"/>
    </w:pPr>
  </w:style>
  <w:style w:type="character" w:customStyle="1" w:styleId="berschrift1Zchn">
    <w:name w:val="Überschrift 1 Zchn"/>
    <w:basedOn w:val="Absatz-Standardschriftart"/>
    <w:link w:val="berschrift1"/>
    <w:uiPriority w:val="9"/>
    <w:rsid w:val="0001019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574295">
      <w:bodyDiv w:val="1"/>
      <w:marLeft w:val="0"/>
      <w:marRight w:val="0"/>
      <w:marTop w:val="0"/>
      <w:marBottom w:val="0"/>
      <w:divBdr>
        <w:top w:val="none" w:sz="0" w:space="0" w:color="auto"/>
        <w:left w:val="none" w:sz="0" w:space="0" w:color="auto"/>
        <w:bottom w:val="none" w:sz="0" w:space="0" w:color="auto"/>
        <w:right w:val="none" w:sz="0" w:space="0" w:color="auto"/>
      </w:divBdr>
    </w:div>
    <w:div w:id="565066121">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27541331">
      <w:bodyDiv w:val="1"/>
      <w:marLeft w:val="0"/>
      <w:marRight w:val="0"/>
      <w:marTop w:val="0"/>
      <w:marBottom w:val="0"/>
      <w:divBdr>
        <w:top w:val="none" w:sz="0" w:space="0" w:color="auto"/>
        <w:left w:val="none" w:sz="0" w:space="0" w:color="auto"/>
        <w:bottom w:val="none" w:sz="0" w:space="0" w:color="auto"/>
        <w:right w:val="none" w:sz="0" w:space="0" w:color="auto"/>
      </w:divBdr>
    </w:div>
    <w:div w:id="1406302253">
      <w:bodyDiv w:val="1"/>
      <w:marLeft w:val="0"/>
      <w:marRight w:val="0"/>
      <w:marTop w:val="0"/>
      <w:marBottom w:val="0"/>
      <w:divBdr>
        <w:top w:val="none" w:sz="0" w:space="0" w:color="auto"/>
        <w:left w:val="none" w:sz="0" w:space="0" w:color="auto"/>
        <w:bottom w:val="none" w:sz="0" w:space="0" w:color="auto"/>
        <w:right w:val="none" w:sz="0" w:space="0" w:color="auto"/>
      </w:divBdr>
    </w:div>
    <w:div w:id="1466972985">
      <w:bodyDiv w:val="1"/>
      <w:marLeft w:val="0"/>
      <w:marRight w:val="0"/>
      <w:marTop w:val="0"/>
      <w:marBottom w:val="0"/>
      <w:divBdr>
        <w:top w:val="none" w:sz="0" w:space="0" w:color="auto"/>
        <w:left w:val="none" w:sz="0" w:space="0" w:color="auto"/>
        <w:bottom w:val="none" w:sz="0" w:space="0" w:color="auto"/>
        <w:right w:val="none" w:sz="0" w:space="0" w:color="auto"/>
      </w:divBdr>
    </w:div>
    <w:div w:id="1596286997">
      <w:bodyDiv w:val="1"/>
      <w:marLeft w:val="0"/>
      <w:marRight w:val="0"/>
      <w:marTop w:val="0"/>
      <w:marBottom w:val="0"/>
      <w:divBdr>
        <w:top w:val="none" w:sz="0" w:space="0" w:color="auto"/>
        <w:left w:val="none" w:sz="0" w:space="0" w:color="auto"/>
        <w:bottom w:val="none" w:sz="0" w:space="0" w:color="auto"/>
        <w:right w:val="none" w:sz="0" w:space="0" w:color="auto"/>
      </w:divBdr>
    </w:div>
    <w:div w:id="1625228777">
      <w:bodyDiv w:val="1"/>
      <w:marLeft w:val="0"/>
      <w:marRight w:val="0"/>
      <w:marTop w:val="0"/>
      <w:marBottom w:val="0"/>
      <w:divBdr>
        <w:top w:val="none" w:sz="0" w:space="0" w:color="auto"/>
        <w:left w:val="none" w:sz="0" w:space="0" w:color="auto"/>
        <w:bottom w:val="none" w:sz="0" w:space="0" w:color="auto"/>
        <w:right w:val="none" w:sz="0" w:space="0" w:color="auto"/>
      </w:divBdr>
      <w:divsChild>
        <w:div w:id="1503930657">
          <w:marLeft w:val="0"/>
          <w:marRight w:val="76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4BDA2-D5B3-4F1F-BEED-EE077602F16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3.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98EB76F-6AAD-40DC-8885-180843689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4835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Beringer Wolfgang (LWE)</cp:lastModifiedBy>
  <cp:revision>3</cp:revision>
  <cp:lastPrinted>2023-09-21T09:23:00Z</cp:lastPrinted>
  <dcterms:created xsi:type="dcterms:W3CDTF">2023-10-04T08:10:00Z</dcterms:created>
  <dcterms:modified xsi:type="dcterms:W3CDTF">2023-10-04T08:19:00Z</dcterms:modified>
  <cp:category>Presseinformation</cp:category>
</cp:coreProperties>
</file>