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9E66B1" w:rsidRDefault="00E847CC" w:rsidP="00E847CC">
      <w:pPr>
        <w:pStyle w:val="Topline16Pt"/>
        <w:rPr>
          <w:lang w:val="es-ES"/>
        </w:rPr>
      </w:pPr>
      <w:r>
        <w:rPr>
          <w:lang w:val="es-MX"/>
        </w:rPr>
        <w:t>Nota de prensa</w:t>
      </w:r>
    </w:p>
    <w:p w14:paraId="2D95C493" w14:textId="2EADBEC9" w:rsidR="00E847CC" w:rsidRPr="009E66B1" w:rsidRDefault="00A67B1E" w:rsidP="00E847CC">
      <w:pPr>
        <w:pStyle w:val="HeadlineH233Pt"/>
        <w:spacing w:line="240" w:lineRule="auto"/>
        <w:rPr>
          <w:rFonts w:cs="Arial"/>
          <w:lang w:val="es-ES"/>
        </w:rPr>
      </w:pPr>
      <w:r>
        <w:rPr>
          <w:rFonts w:cs="Arial"/>
          <w:bCs/>
          <w:lang w:val="es-MX"/>
        </w:rPr>
        <w:t xml:space="preserve">Liebherr presenta sus últimas novedades en tecnología minera en </w:t>
      </w:r>
      <w:proofErr w:type="spellStart"/>
      <w:r>
        <w:rPr>
          <w:rFonts w:cs="Arial"/>
          <w:bCs/>
          <w:lang w:val="es-MX"/>
        </w:rPr>
        <w:t>MINExpo</w:t>
      </w:r>
      <w:proofErr w:type="spellEnd"/>
      <w:r>
        <w:rPr>
          <w:rFonts w:cs="Arial"/>
          <w:bCs/>
          <w:lang w:val="es-MX"/>
        </w:rPr>
        <w:t xml:space="preserve"> International 2024 </w:t>
      </w:r>
    </w:p>
    <w:p w14:paraId="65A307FA" w14:textId="77777777" w:rsidR="00B81ED6" w:rsidRPr="004E0E46" w:rsidRDefault="00B81ED6" w:rsidP="00B81ED6">
      <w:pPr>
        <w:pStyle w:val="HeadlineH233Pt"/>
        <w:spacing w:before="240" w:after="240" w:line="140" w:lineRule="exact"/>
        <w:rPr>
          <w:rFonts w:ascii="Tahoma" w:hAnsi="Tahoma" w:cs="Tahoma"/>
        </w:rPr>
      </w:pPr>
      <w:r>
        <w:rPr>
          <w:rFonts w:ascii="Tahoma" w:hAnsi="Tahoma" w:cs="Tahoma"/>
          <w:bCs/>
          <w:lang w:val="es-MX"/>
        </w:rPr>
        <w:t>⸺</w:t>
      </w:r>
    </w:p>
    <w:p w14:paraId="50813867" w14:textId="7C38E2B4" w:rsidR="008D0F30" w:rsidRPr="009E66B1" w:rsidRDefault="004B74ED" w:rsidP="004C068E">
      <w:pPr>
        <w:pStyle w:val="Bulletpoints11Pt"/>
        <w:ind w:left="360"/>
        <w:rPr>
          <w:lang w:val="es-ES"/>
        </w:rPr>
      </w:pPr>
      <w:r>
        <w:rPr>
          <w:bCs/>
          <w:lang w:val="es-MX"/>
        </w:rPr>
        <w:t xml:space="preserve">Del 24 al 26 de septiembre, el Grupo Liebherr participará en </w:t>
      </w:r>
      <w:proofErr w:type="spellStart"/>
      <w:r>
        <w:rPr>
          <w:bCs/>
          <w:lang w:val="es-MX"/>
        </w:rPr>
        <w:t>MINExpo</w:t>
      </w:r>
      <w:proofErr w:type="spellEnd"/>
      <w:r>
        <w:rPr>
          <w:bCs/>
          <w:lang w:val="es-MX"/>
        </w:rPr>
        <w:t xml:space="preserve">, la mayor feria de minería del mundo, en el stand n.º 7832 del Central Hall en Las Vegas </w:t>
      </w:r>
      <w:proofErr w:type="spellStart"/>
      <w:r>
        <w:rPr>
          <w:bCs/>
          <w:lang w:val="es-MX"/>
        </w:rPr>
        <w:t>Convention</w:t>
      </w:r>
      <w:proofErr w:type="spellEnd"/>
      <w:r>
        <w:rPr>
          <w:bCs/>
          <w:lang w:val="es-MX"/>
        </w:rPr>
        <w:t xml:space="preserve"> Center en Nevada (EE. UU.).</w:t>
      </w:r>
    </w:p>
    <w:p w14:paraId="5D8F08DF" w14:textId="734DFA2E" w:rsidR="00336030" w:rsidRPr="009E66B1" w:rsidRDefault="00CE7380" w:rsidP="004C068E">
      <w:pPr>
        <w:pStyle w:val="Bulletpoints11Pt"/>
        <w:ind w:left="360"/>
        <w:rPr>
          <w:lang w:val="es-ES"/>
        </w:rPr>
      </w:pPr>
      <w:r>
        <w:rPr>
          <w:bCs/>
          <w:lang w:val="es-MX"/>
        </w:rPr>
        <w:t xml:space="preserve">Durante la feria, Liebherr mostrará su camión de transporte autónomo eléctrico a batería T 264, anunciará el lanzamiento del PR 776 Generación 8 y presentará su gama de tecnología ampliada </w:t>
      </w:r>
      <w:proofErr w:type="spellStart"/>
      <w:r>
        <w:rPr>
          <w:bCs/>
          <w:lang w:val="es-MX"/>
        </w:rPr>
        <w:t>IoMine</w:t>
      </w:r>
      <w:proofErr w:type="spellEnd"/>
      <w:r>
        <w:rPr>
          <w:bCs/>
          <w:lang w:val="es-MX"/>
        </w:rPr>
        <w:t>.</w:t>
      </w:r>
    </w:p>
    <w:p w14:paraId="1D3FDFA4" w14:textId="513445A2" w:rsidR="00480DB4" w:rsidRPr="009E66B1" w:rsidRDefault="00480DB4" w:rsidP="004C068E">
      <w:pPr>
        <w:pStyle w:val="Bulletpoints11Pt"/>
        <w:ind w:left="360"/>
        <w:rPr>
          <w:lang w:val="es-ES"/>
        </w:rPr>
      </w:pPr>
      <w:r>
        <w:rPr>
          <w:bCs/>
          <w:lang w:val="es-MX"/>
        </w:rPr>
        <w:t>Los visitantes que acudan a la feria de forma presencial y a través de los canales en línea conocerán el equipamiento de alta calidad de Liebherr, las soluciones de descarbonización, los productos tecnológicos y los servicios que convierten al fabricante de equipos originales en un socio fantástico para soluciones de minería.</w:t>
      </w:r>
    </w:p>
    <w:p w14:paraId="4E00A414" w14:textId="54B5DFDA" w:rsidR="006C3209" w:rsidRPr="009E66B1" w:rsidRDefault="00AF7DD5" w:rsidP="006C3209">
      <w:pPr>
        <w:pStyle w:val="Teaser11Pt"/>
        <w:rPr>
          <w:rFonts w:cs="Arial"/>
          <w:noProof w:val="0"/>
          <w:lang w:val="es-ES"/>
        </w:rPr>
      </w:pPr>
      <w:r>
        <w:rPr>
          <w:bCs/>
          <w:noProof w:val="0"/>
          <w:lang w:val="es-MX"/>
        </w:rPr>
        <w:t xml:space="preserve">En </w:t>
      </w:r>
      <w:proofErr w:type="spellStart"/>
      <w:r>
        <w:rPr>
          <w:bCs/>
          <w:noProof w:val="0"/>
          <w:lang w:val="es-MX"/>
        </w:rPr>
        <w:t>MINExpo</w:t>
      </w:r>
      <w:proofErr w:type="spellEnd"/>
      <w:r>
        <w:rPr>
          <w:bCs/>
          <w:noProof w:val="0"/>
          <w:lang w:val="es-MX"/>
        </w:rPr>
        <w:t xml:space="preserve"> de este año, Liebherr presentará los avances de sus segmentos de productos de minería, movimiento de tierras, grúas móviles y sobre cadenas, componentes y productos aeronáuticos y ferroviarios. La empresa realizará varios anuncios de productos durante la feria, incluida la presentación de su</w:t>
      </w:r>
      <w:r>
        <w:rPr>
          <w:bCs/>
          <w:lang w:val="es-MX"/>
        </w:rPr>
        <w:t xml:space="preserve"> camión de carga autónomo T 264 con batería eléctrica, el nuevo buldócer PR 776 Generation 8 y la ampliación de su cartera de tecnología integrada, IoMine</w:t>
      </w:r>
      <w:r>
        <w:rPr>
          <w:bCs/>
          <w:noProof w:val="0"/>
          <w:lang w:val="es-MX"/>
        </w:rPr>
        <w:t>. Siguiendo el lema de Liebherr para el evento, «</w:t>
      </w:r>
      <w:proofErr w:type="spellStart"/>
      <w:r>
        <w:rPr>
          <w:bCs/>
          <w:noProof w:val="0"/>
          <w:lang w:val="es-MX"/>
        </w:rPr>
        <w:t>Your</w:t>
      </w:r>
      <w:proofErr w:type="spellEnd"/>
      <w:r>
        <w:rPr>
          <w:bCs/>
          <w:noProof w:val="0"/>
          <w:lang w:val="es-MX"/>
        </w:rPr>
        <w:t xml:space="preserve"> </w:t>
      </w:r>
      <w:proofErr w:type="spellStart"/>
      <w:r>
        <w:rPr>
          <w:bCs/>
          <w:noProof w:val="0"/>
          <w:lang w:val="es-MX"/>
        </w:rPr>
        <w:t>mining</w:t>
      </w:r>
      <w:proofErr w:type="spellEnd"/>
      <w:r>
        <w:rPr>
          <w:bCs/>
          <w:noProof w:val="0"/>
          <w:lang w:val="es-MX"/>
        </w:rPr>
        <w:t xml:space="preserve"> </w:t>
      </w:r>
      <w:proofErr w:type="spellStart"/>
      <w:r>
        <w:rPr>
          <w:bCs/>
          <w:noProof w:val="0"/>
          <w:lang w:val="es-MX"/>
        </w:rPr>
        <w:t>partner</w:t>
      </w:r>
      <w:proofErr w:type="spellEnd"/>
      <w:r>
        <w:rPr>
          <w:bCs/>
          <w:noProof w:val="0"/>
          <w:lang w:val="es-MX"/>
        </w:rPr>
        <w:t>» (Su socio en minería), Liebherr mostrará su fiabilidad como socio para el mejor equipamiento de su clase, soluciones de descarbonización, tecnología punta y excelencia en el servicio para la industria de la minería.</w:t>
      </w:r>
    </w:p>
    <w:p w14:paraId="6B49C30C" w14:textId="41134922" w:rsidR="0003460D" w:rsidRPr="009E66B1" w:rsidRDefault="004600BE" w:rsidP="00226250">
      <w:pPr>
        <w:pStyle w:val="Copytext11Pt"/>
        <w:rPr>
          <w:lang w:val="es-ES"/>
        </w:rPr>
      </w:pPr>
      <w:r>
        <w:rPr>
          <w:lang w:val="es-MX"/>
        </w:rPr>
        <w:t xml:space="preserve">Las Vegas (EE. UU.), 24 de septiembre de 2024. Liebherr compartirá sus últimas novedades, productos, servicios e innovaciones para el sector de la minería en la mayor feria de minería del mundo, la </w:t>
      </w:r>
      <w:proofErr w:type="spellStart"/>
      <w:r>
        <w:rPr>
          <w:lang w:val="es-MX"/>
        </w:rPr>
        <w:t>MINExpo</w:t>
      </w:r>
      <w:proofErr w:type="spellEnd"/>
      <w:r>
        <w:rPr>
          <w:lang w:val="es-MX"/>
        </w:rPr>
        <w:t xml:space="preserve"> INTERNATIONAL</w:t>
      </w:r>
      <w:r>
        <w:rPr>
          <w:vertAlign w:val="superscript"/>
          <w:lang w:val="es-MX"/>
        </w:rPr>
        <w:t>®</w:t>
      </w:r>
      <w:r>
        <w:rPr>
          <w:lang w:val="es-MX"/>
        </w:rPr>
        <w:t xml:space="preserve"> de este año. Los visitantes podrán disfrutar de más de 2777 m² de exposición de Liebherr en el stand 7832. </w:t>
      </w:r>
    </w:p>
    <w:p w14:paraId="3A4F687D" w14:textId="77777777" w:rsidR="00BB57A2" w:rsidRPr="00B3285C" w:rsidRDefault="00BB57A2" w:rsidP="00BB57A2">
      <w:pPr>
        <w:spacing w:line="276" w:lineRule="auto"/>
        <w:rPr>
          <w:rFonts w:ascii="Arial" w:hAnsi="Arial" w:cs="Arial"/>
          <w:b/>
          <w:bCs/>
          <w:lang w:val="es-PA"/>
        </w:rPr>
      </w:pPr>
      <w:r>
        <w:rPr>
          <w:rFonts w:ascii="Arial" w:hAnsi="Arial" w:cs="Arial"/>
          <w:b/>
          <w:bCs/>
          <w:lang w:val="es-PA"/>
        </w:rPr>
        <w:t xml:space="preserve">Se devela el </w:t>
      </w:r>
      <w:r w:rsidRPr="00B3285C">
        <w:rPr>
          <w:rFonts w:ascii="Arial" w:eastAsia="Times New Roman" w:hAnsi="Arial" w:cs="Arial"/>
          <w:b/>
          <w:bCs/>
          <w:lang w:val="es-PA"/>
        </w:rPr>
        <w:t>camión</w:t>
      </w:r>
      <w:r>
        <w:rPr>
          <w:rFonts w:ascii="Arial" w:eastAsia="Times New Roman" w:hAnsi="Arial" w:cs="Arial"/>
          <w:b/>
          <w:bCs/>
          <w:lang w:val="es-PA"/>
        </w:rPr>
        <w:t xml:space="preserve"> minero a batería T 264 de Liebherr</w:t>
      </w:r>
    </w:p>
    <w:p w14:paraId="13684AE5" w14:textId="03C48F2F" w:rsidR="00BB57A2" w:rsidRPr="00B3285C" w:rsidRDefault="00BB57A2" w:rsidP="00BB57A2">
      <w:pPr>
        <w:spacing w:line="276" w:lineRule="auto"/>
        <w:rPr>
          <w:rFonts w:ascii="Arial" w:eastAsia="Times New Roman" w:hAnsi="Arial" w:cs="Arial"/>
          <w:lang w:val="es-PA"/>
        </w:rPr>
      </w:pPr>
      <w:r w:rsidRPr="00B3285C">
        <w:rPr>
          <w:rFonts w:ascii="Arial" w:hAnsi="Arial" w:cs="Arial"/>
          <w:lang w:val="es-PA"/>
        </w:rPr>
        <w:t xml:space="preserve">Durante la impresionante </w:t>
      </w:r>
      <w:proofErr w:type="spellStart"/>
      <w:r w:rsidRPr="00B3285C">
        <w:rPr>
          <w:rFonts w:ascii="Arial" w:hAnsi="Arial" w:cs="Arial"/>
          <w:lang w:val="es-PA"/>
        </w:rPr>
        <w:t>Technology</w:t>
      </w:r>
      <w:proofErr w:type="spellEnd"/>
      <w:r w:rsidRPr="00B3285C">
        <w:rPr>
          <w:rFonts w:ascii="Arial" w:hAnsi="Arial" w:cs="Arial"/>
          <w:lang w:val="es-PA"/>
        </w:rPr>
        <w:t xml:space="preserve"> </w:t>
      </w:r>
      <w:proofErr w:type="spellStart"/>
      <w:r w:rsidRPr="00B3285C">
        <w:rPr>
          <w:rFonts w:ascii="Arial" w:hAnsi="Arial" w:cs="Arial"/>
          <w:lang w:val="es-PA"/>
        </w:rPr>
        <w:t>Reveal</w:t>
      </w:r>
      <w:proofErr w:type="spellEnd"/>
      <w:r w:rsidRPr="00B3285C">
        <w:rPr>
          <w:rFonts w:ascii="Arial" w:hAnsi="Arial" w:cs="Arial"/>
          <w:lang w:val="es-PA"/>
        </w:rPr>
        <w:t xml:space="preserve"> celebrado en el stand de Liebherr en horas más tempranos del día de hoy, </w:t>
      </w:r>
      <w:r w:rsidRPr="00B3285C">
        <w:rPr>
          <w:rFonts w:ascii="Arial" w:eastAsia="Times New Roman" w:hAnsi="Arial" w:cs="Arial"/>
          <w:lang w:val="es-PA"/>
        </w:rPr>
        <w:t>L</w:t>
      </w:r>
      <w:r w:rsidR="00CE2175">
        <w:rPr>
          <w:rFonts w:ascii="Arial" w:eastAsia="Times New Roman" w:hAnsi="Arial" w:cs="Arial"/>
          <w:lang w:val="es-PA"/>
        </w:rPr>
        <w:t>iebherr</w:t>
      </w:r>
      <w:r w:rsidRPr="00B3285C">
        <w:rPr>
          <w:rFonts w:ascii="Arial" w:eastAsia="Times New Roman" w:hAnsi="Arial" w:cs="Arial"/>
          <w:lang w:val="es-PA"/>
        </w:rPr>
        <w:t xml:space="preserve"> y </w:t>
      </w:r>
      <w:proofErr w:type="spellStart"/>
      <w:r w:rsidRPr="00B3285C">
        <w:rPr>
          <w:rFonts w:ascii="Arial" w:eastAsia="Times New Roman" w:hAnsi="Arial" w:cs="Arial"/>
          <w:lang w:val="es-PA"/>
        </w:rPr>
        <w:t>Fortescue</w:t>
      </w:r>
      <w:proofErr w:type="spellEnd"/>
      <w:r w:rsidRPr="00B3285C">
        <w:rPr>
          <w:rFonts w:ascii="Arial" w:eastAsia="Times New Roman" w:hAnsi="Arial" w:cs="Arial"/>
          <w:lang w:val="es-PA"/>
        </w:rPr>
        <w:t xml:space="preserve"> presentaron el primer camión de carga autónomo de batería eléctrica T 264. Este camión representa la culminación de años de arduo trabajo y la unión de los segmentos de autonomía y cero emisiones de la asociación Liebherr–</w:t>
      </w:r>
      <w:proofErr w:type="spellStart"/>
      <w:r w:rsidRPr="00B3285C">
        <w:rPr>
          <w:rFonts w:ascii="Arial" w:eastAsia="Times New Roman" w:hAnsi="Arial" w:cs="Arial"/>
          <w:lang w:val="es-PA"/>
        </w:rPr>
        <w:t>Fortescue</w:t>
      </w:r>
      <w:proofErr w:type="spellEnd"/>
      <w:r w:rsidRPr="00B3285C">
        <w:rPr>
          <w:rFonts w:ascii="Arial" w:eastAsia="Times New Roman" w:hAnsi="Arial" w:cs="Arial"/>
          <w:lang w:val="es-PA"/>
        </w:rPr>
        <w:t xml:space="preserve">. El T 264 autónomo y eléctrico estará equipado con un sistema de batería de cero emisiones desarrollado por </w:t>
      </w:r>
      <w:proofErr w:type="spellStart"/>
      <w:r w:rsidRPr="00B3285C">
        <w:rPr>
          <w:rFonts w:ascii="Arial" w:eastAsia="Times New Roman" w:hAnsi="Arial" w:cs="Arial"/>
          <w:lang w:val="es-PA"/>
        </w:rPr>
        <w:t>Fortescue</w:t>
      </w:r>
      <w:proofErr w:type="spellEnd"/>
      <w:r w:rsidRPr="00B3285C">
        <w:rPr>
          <w:rFonts w:ascii="Arial" w:eastAsia="Times New Roman" w:hAnsi="Arial" w:cs="Arial"/>
          <w:lang w:val="es-PA"/>
        </w:rPr>
        <w:t xml:space="preserve"> </w:t>
      </w:r>
      <w:r w:rsidRPr="00B3285C">
        <w:rPr>
          <w:rFonts w:ascii="Arial" w:eastAsia="Times New Roman" w:hAnsi="Arial" w:cs="Arial"/>
          <w:lang w:val="es-PA"/>
        </w:rPr>
        <w:lastRenderedPageBreak/>
        <w:t>Z</w:t>
      </w:r>
      <w:r w:rsidR="00CE2175">
        <w:rPr>
          <w:rFonts w:ascii="Arial" w:eastAsia="Times New Roman" w:hAnsi="Arial" w:cs="Arial"/>
          <w:lang w:val="es-PA"/>
        </w:rPr>
        <w:t>ero</w:t>
      </w:r>
      <w:r w:rsidRPr="00B3285C">
        <w:rPr>
          <w:rFonts w:ascii="Arial" w:eastAsia="Times New Roman" w:hAnsi="Arial" w:cs="Arial"/>
          <w:lang w:val="es-PA"/>
        </w:rPr>
        <w:t xml:space="preserve"> y el </w:t>
      </w:r>
      <w:proofErr w:type="spellStart"/>
      <w:r w:rsidRPr="00B3285C">
        <w:rPr>
          <w:rFonts w:ascii="Arial" w:eastAsia="Times New Roman" w:hAnsi="Arial" w:cs="Arial"/>
          <w:lang w:val="es-PA"/>
        </w:rPr>
        <w:t>Autonomous</w:t>
      </w:r>
      <w:proofErr w:type="spellEnd"/>
      <w:r w:rsidRPr="00B3285C">
        <w:rPr>
          <w:rFonts w:ascii="Arial" w:eastAsia="Times New Roman" w:hAnsi="Arial" w:cs="Arial"/>
          <w:lang w:val="es-PA"/>
        </w:rPr>
        <w:t xml:space="preserve"> </w:t>
      </w:r>
      <w:proofErr w:type="spellStart"/>
      <w:r w:rsidRPr="00B3285C">
        <w:rPr>
          <w:rFonts w:ascii="Arial" w:eastAsia="Times New Roman" w:hAnsi="Arial" w:cs="Arial"/>
          <w:lang w:val="es-PA"/>
        </w:rPr>
        <w:t>Haulage</w:t>
      </w:r>
      <w:proofErr w:type="spellEnd"/>
      <w:r w:rsidRPr="00B3285C">
        <w:rPr>
          <w:rFonts w:ascii="Arial" w:eastAsia="Times New Roman" w:hAnsi="Arial" w:cs="Arial"/>
          <w:lang w:val="es-PA"/>
        </w:rPr>
        <w:t xml:space="preserve"> </w:t>
      </w:r>
      <w:proofErr w:type="spellStart"/>
      <w:r w:rsidRPr="00B3285C">
        <w:rPr>
          <w:rFonts w:ascii="Arial" w:eastAsia="Times New Roman" w:hAnsi="Arial" w:cs="Arial"/>
          <w:lang w:val="es-PA"/>
        </w:rPr>
        <w:t>Solution</w:t>
      </w:r>
      <w:proofErr w:type="spellEnd"/>
      <w:r w:rsidRPr="00B3285C">
        <w:rPr>
          <w:rFonts w:ascii="Arial" w:eastAsia="Times New Roman" w:hAnsi="Arial" w:cs="Arial"/>
          <w:lang w:val="es-PA"/>
        </w:rPr>
        <w:t xml:space="preserve"> (AHS) desarrollada en conjunto, ambos diseñados para ser escalables, de modo que puedan ser adaptados a los camiones de carga Liebherr existentes.</w:t>
      </w:r>
    </w:p>
    <w:p w14:paraId="230DF19C" w14:textId="77777777" w:rsidR="00BB57A2" w:rsidRPr="00B3285C" w:rsidRDefault="00BB57A2" w:rsidP="00BB57A2">
      <w:pPr>
        <w:spacing w:line="276" w:lineRule="auto"/>
        <w:rPr>
          <w:rFonts w:ascii="Arial" w:eastAsia="Times New Roman" w:hAnsi="Arial" w:cs="Arial"/>
          <w:lang w:val="es-PA"/>
        </w:rPr>
      </w:pPr>
      <w:r w:rsidRPr="00B3285C">
        <w:rPr>
          <w:rFonts w:ascii="Arial" w:eastAsia="Times New Roman" w:hAnsi="Arial" w:cs="Arial"/>
          <w:lang w:val="es-PA"/>
        </w:rPr>
        <w:t xml:space="preserve">El AHS, </w:t>
      </w:r>
      <w:proofErr w:type="spellStart"/>
      <w:r w:rsidRPr="00B3285C">
        <w:rPr>
          <w:rFonts w:ascii="Arial" w:eastAsia="Times New Roman" w:hAnsi="Arial" w:cs="Arial"/>
          <w:lang w:val="es-PA"/>
        </w:rPr>
        <w:t>co-desarrollado</w:t>
      </w:r>
      <w:proofErr w:type="spellEnd"/>
      <w:r w:rsidRPr="00B3285C">
        <w:rPr>
          <w:rFonts w:ascii="Arial" w:eastAsia="Times New Roman" w:hAnsi="Arial" w:cs="Arial"/>
          <w:lang w:val="es-PA"/>
        </w:rPr>
        <w:t xml:space="preserve"> con la experiencia de ambas empresas, también incluye un Sistema de Gestión de Energía que coordina las asignaciones de carga estática para los camiones y asegura que el cargador se utilice al máximo sin causar largas filas en el sitio. </w:t>
      </w:r>
      <w:r w:rsidRPr="00B3285C">
        <w:rPr>
          <w:rFonts w:ascii="Arial" w:eastAsia="Times New Roman" w:hAnsi="Arial" w:cs="Arial"/>
          <w:lang w:val="es-PA"/>
        </w:rPr>
        <w:br/>
      </w:r>
      <w:proofErr w:type="spellStart"/>
      <w:r w:rsidRPr="00B3285C">
        <w:rPr>
          <w:rFonts w:ascii="Arial" w:eastAsia="Times New Roman" w:hAnsi="Arial" w:cs="Arial"/>
          <w:lang w:val="es-PA"/>
        </w:rPr>
        <w:t>Fortescue</w:t>
      </w:r>
      <w:proofErr w:type="spellEnd"/>
      <w:r w:rsidRPr="00B3285C">
        <w:rPr>
          <w:rFonts w:ascii="Arial" w:eastAsia="Times New Roman" w:hAnsi="Arial" w:cs="Arial"/>
          <w:lang w:val="es-PA"/>
        </w:rPr>
        <w:t xml:space="preserve"> ha desarrollado la solución de carga rápida estacionaria para apoyar el camión eléctrico autónomo. Equipado con opciones de conexión robótica, el cargador puede proporcionar hasta 6 MW de potencia y cargar la actual batería eléctrica T 264 en 30 minutos.</w:t>
      </w:r>
    </w:p>
    <w:p w14:paraId="73C84C2B" w14:textId="77777777" w:rsidR="00BB57A2" w:rsidRPr="00B3285C" w:rsidRDefault="00BB57A2" w:rsidP="00BB57A2">
      <w:pPr>
        <w:spacing w:line="276" w:lineRule="auto"/>
        <w:rPr>
          <w:rFonts w:ascii="Arial" w:eastAsia="Times New Roman" w:hAnsi="Arial" w:cs="Arial"/>
          <w:lang w:val="es-PA"/>
        </w:rPr>
      </w:pPr>
      <w:r w:rsidRPr="00B3285C">
        <w:rPr>
          <w:rFonts w:ascii="Arial" w:eastAsia="Times New Roman" w:hAnsi="Arial" w:cs="Arial"/>
          <w:lang w:val="es-PA"/>
        </w:rPr>
        <w:t>Los neumáticos del T 264 en la exposición son Michelin 50/80R57 XDR 4 SPEED ENERGY</w:t>
      </w:r>
      <w:r w:rsidRPr="00B3285C">
        <w:rPr>
          <w:rFonts w:ascii="Arial" w:eastAsia="Times New Roman" w:hAnsi="Arial" w:cs="Arial"/>
          <w:vertAlign w:val="superscript"/>
          <w:lang w:val="es-PA"/>
        </w:rPr>
        <w:t>TM</w:t>
      </w:r>
      <w:r w:rsidRPr="00B3285C">
        <w:rPr>
          <w:rFonts w:ascii="Arial" w:eastAsia="Times New Roman" w:hAnsi="Arial" w:cs="Arial"/>
          <w:lang w:val="es-PA"/>
        </w:rPr>
        <w:t>, el primer neumático de bajo consumo de energía para la industria minera. Al estar fabricados con un nuevo compuesto de caucho que ahorra energía y tienen una trayectoria optimizada con mayor flexibilidad, estos neumáticos ayudan a reducir la cantidad de energía consumida por los camiones mineros. Los neumáticos 50/80R57 XDR 4 SPEED ENERGY</w:t>
      </w:r>
      <w:r w:rsidRPr="00B3285C">
        <w:rPr>
          <w:rFonts w:ascii="Arial" w:eastAsia="Times New Roman" w:hAnsi="Arial" w:cs="Arial"/>
          <w:vertAlign w:val="superscript"/>
          <w:lang w:val="es-PA"/>
        </w:rPr>
        <w:t>TM</w:t>
      </w:r>
      <w:r w:rsidRPr="00B3285C">
        <w:rPr>
          <w:rFonts w:ascii="Arial" w:eastAsia="Times New Roman" w:hAnsi="Arial" w:cs="Arial"/>
          <w:lang w:val="es-PA"/>
        </w:rPr>
        <w:t xml:space="preserve"> han demostrado reducir el consumo de combustible en un 3.6% en condiciones planas en comparación con los neumáticos Michelin 50/80R57 XDR 250 C que funcionan en un camión de motor de combustión, y se espera que tengan un impacto positivo en la autonomía de los camiones eléctricos.</w:t>
      </w:r>
    </w:p>
    <w:p w14:paraId="2B1D2050" w14:textId="77777777" w:rsidR="007241BF" w:rsidRPr="009E66B1" w:rsidRDefault="007241BF" w:rsidP="007241BF">
      <w:pPr>
        <w:pStyle w:val="Copyhead11Pt"/>
        <w:rPr>
          <w:lang w:val="es-ES"/>
        </w:rPr>
      </w:pPr>
      <w:r>
        <w:rPr>
          <w:bCs/>
          <w:lang w:val="es-MX"/>
        </w:rPr>
        <w:t xml:space="preserve">R 9400 E: más de 40 años de experiencia electrónica </w:t>
      </w:r>
    </w:p>
    <w:p w14:paraId="563CF575" w14:textId="0DC70458" w:rsidR="0056799C" w:rsidRPr="009E66B1" w:rsidRDefault="007241BF" w:rsidP="007241BF">
      <w:pPr>
        <w:pStyle w:val="Copytext11Pt"/>
        <w:rPr>
          <w:lang w:val="es-ES"/>
        </w:rPr>
      </w:pPr>
      <w:r>
        <w:rPr>
          <w:lang w:val="es-MX"/>
        </w:rPr>
        <w:t>Para destacar la capacidad de Liebherr como socio fiable para soluciones de descarbonización, el stand incluirá la excavadora eléctrica R 9400 E de 350 toneladas. Esta máquina no solo es una prueba de los más de 40 años de experiencia de Liebherr en el desarrollo y la fabricación de excavadoras eléctricas, sino que también presenta algunas de las últimas innovaciones del segmento de productos de la minería. Esta máquina estará equipada con la nueva solución de enrollador de cable de la empresa para mejorar la manejabilidad.</w:t>
      </w:r>
    </w:p>
    <w:p w14:paraId="1F4553E9" w14:textId="17E88D9F" w:rsidR="004D2290" w:rsidRPr="009E66B1" w:rsidRDefault="008A1629" w:rsidP="00DE526A">
      <w:pPr>
        <w:pStyle w:val="Copyhead11Pt"/>
        <w:rPr>
          <w:lang w:val="es-ES"/>
        </w:rPr>
      </w:pPr>
      <w:r>
        <w:rPr>
          <w:bCs/>
          <w:lang w:val="es-MX"/>
        </w:rPr>
        <w:t>PR 776 G8: la nueva generación de buldócer</w:t>
      </w:r>
    </w:p>
    <w:p w14:paraId="780AAAE5" w14:textId="25F5499F" w:rsidR="004D2290" w:rsidRPr="009E66B1" w:rsidRDefault="004D2290" w:rsidP="07DC923F">
      <w:pPr>
        <w:pStyle w:val="Copyhead11Pt"/>
        <w:rPr>
          <w:b w:val="0"/>
          <w:lang w:val="es-ES"/>
        </w:rPr>
      </w:pPr>
      <w:r>
        <w:rPr>
          <w:b w:val="0"/>
          <w:lang w:val="es-MX"/>
        </w:rPr>
        <w:t>Liebherr ha anunciado esta semana el lanzamiento de su buldócer de 70 toneladas de última generación: el PR 776 G8.  Los buldóceres para minería de Liebherr destacan en los trabajos de arranque, empuje, apilamiento, limpieza y recuperación en minas de todo el mundo. El PR 776 G8 ofrece una mayor eficiencia y una potencia constante gracias a su sistema hidráulico y de transmisión inteligente. Su combinación de transmisión hidrostática y el motor Liebherr D9512 ofrece el menor consumo de combustible por hora en el segmento de 70 toneladas. Además, el PR 776 ofrece la mejor eficiencia de su clase, con sus sistemas de asistencia al operador que aumentan aún más el rendimiento y la eficiencia.</w:t>
      </w:r>
      <w:r>
        <w:rPr>
          <w:b w:val="0"/>
          <w:color w:val="FF0000"/>
          <w:lang w:val="es-MX"/>
        </w:rPr>
        <w:t xml:space="preserve"> </w:t>
      </w:r>
    </w:p>
    <w:p w14:paraId="624FE829" w14:textId="57F77520" w:rsidR="008A1629" w:rsidRPr="009E66B1" w:rsidRDefault="008A1629" w:rsidP="00DE526A">
      <w:pPr>
        <w:pStyle w:val="Copyhead11Pt"/>
        <w:rPr>
          <w:lang w:val="es-ES"/>
        </w:rPr>
      </w:pPr>
      <w:r>
        <w:rPr>
          <w:bCs/>
          <w:lang w:val="es-MX"/>
        </w:rPr>
        <w:t>LRT 1100-2.1: la opción segura</w:t>
      </w:r>
    </w:p>
    <w:p w14:paraId="2E8A51E6" w14:textId="319BC3DF" w:rsidR="008A1629" w:rsidRPr="009E66B1" w:rsidRDefault="00897250" w:rsidP="00DE526A">
      <w:pPr>
        <w:pStyle w:val="Copytext11Pt"/>
        <w:rPr>
          <w:lang w:val="es-ES"/>
        </w:rPr>
      </w:pPr>
      <w:r>
        <w:rPr>
          <w:lang w:val="es-MX"/>
        </w:rPr>
        <w:t>La grúa rough-</w:t>
      </w:r>
      <w:proofErr w:type="spellStart"/>
      <w:r>
        <w:rPr>
          <w:lang w:val="es-MX"/>
        </w:rPr>
        <w:t>terrain</w:t>
      </w:r>
      <w:proofErr w:type="spellEnd"/>
      <w:r>
        <w:rPr>
          <w:lang w:val="es-MX"/>
        </w:rPr>
        <w:t xml:space="preserve"> LRT 1100-2.1 es uno de los productos destacados del stand de Liebherr del segmento de productos de grúas móviles y sobre orugas de la empresa. Esta grúa rough-</w:t>
      </w:r>
      <w:proofErr w:type="spellStart"/>
      <w:r>
        <w:rPr>
          <w:lang w:val="es-MX"/>
        </w:rPr>
        <w:t>terrain</w:t>
      </w:r>
      <w:proofErr w:type="spellEnd"/>
      <w:r>
        <w:rPr>
          <w:lang w:val="es-MX"/>
        </w:rPr>
        <w:t xml:space="preserve"> incorpora monitores de estabilizadores como estándar que detectan automáticamente el estado de apoyo de la grúa y lo guardan en el controlador de la grúa. La base de apoyo variable </w:t>
      </w:r>
      <w:proofErr w:type="spellStart"/>
      <w:r>
        <w:rPr>
          <w:lang w:val="es-MX"/>
        </w:rPr>
        <w:t>VarioBase</w:t>
      </w:r>
      <w:proofErr w:type="spellEnd"/>
      <w:r>
        <w:rPr>
          <w:lang w:val="es-MX"/>
        </w:rPr>
        <w:t xml:space="preserve">® de serie de la grúa optimiza aún más la seguridad al mejorar la flexibilidad en la obra y aumentar la capacidad de elevación de la grúa. La LRT 1100-2.1 dispone de una pluma telescópica con el probado </w:t>
      </w:r>
      <w:r>
        <w:rPr>
          <w:lang w:val="es-MX"/>
        </w:rPr>
        <w:lastRenderedPageBreak/>
        <w:t>sistema telescópico telemático de Liebherr para grúas rough-</w:t>
      </w:r>
      <w:proofErr w:type="spellStart"/>
      <w:r>
        <w:rPr>
          <w:lang w:val="es-MX"/>
        </w:rPr>
        <w:t>terrain</w:t>
      </w:r>
      <w:proofErr w:type="spellEnd"/>
      <w:r>
        <w:rPr>
          <w:lang w:val="es-MX"/>
        </w:rPr>
        <w:t>, en el que las diferentes secciones telescópicas se pueden extender independientemente con un solo cilindro y luego fijarse a la sección telescópica superior.</w:t>
      </w:r>
    </w:p>
    <w:p w14:paraId="275F3BAC" w14:textId="77777777" w:rsidR="004E5B76" w:rsidRPr="004E5B76" w:rsidRDefault="004E5B76" w:rsidP="004E5B76">
      <w:pPr>
        <w:pStyle w:val="Copytext11Pt"/>
        <w:rPr>
          <w:b/>
          <w:bCs/>
          <w:lang w:val="es-PA"/>
        </w:rPr>
      </w:pPr>
      <w:r w:rsidRPr="004E5B76">
        <w:rPr>
          <w:b/>
          <w:bCs/>
          <w:lang w:val="es-PA"/>
        </w:rPr>
        <w:t xml:space="preserve">Anunciando </w:t>
      </w:r>
      <w:proofErr w:type="spellStart"/>
      <w:r w:rsidRPr="004E5B76">
        <w:rPr>
          <w:b/>
          <w:bCs/>
          <w:lang w:val="es-PA"/>
        </w:rPr>
        <w:t>IoMine</w:t>
      </w:r>
      <w:proofErr w:type="spellEnd"/>
      <w:r w:rsidRPr="004E5B76">
        <w:rPr>
          <w:b/>
          <w:bCs/>
          <w:lang w:val="es-PA"/>
        </w:rPr>
        <w:t xml:space="preserve">, el portafolio tecnológico de Liebherr. </w:t>
      </w:r>
    </w:p>
    <w:p w14:paraId="712D1536" w14:textId="77777777" w:rsidR="004E5B76" w:rsidRPr="004E5B76" w:rsidRDefault="004E5B76" w:rsidP="004E5B76">
      <w:pPr>
        <w:pStyle w:val="Copytext11Pt"/>
        <w:rPr>
          <w:lang w:val="es-PA"/>
        </w:rPr>
      </w:pPr>
      <w:r w:rsidRPr="004E5B76">
        <w:rPr>
          <w:lang w:val="es-PA"/>
        </w:rPr>
        <w:t xml:space="preserve">Liebherr también ha lanzado su ampliado portafolio de tecnología, </w:t>
      </w:r>
      <w:proofErr w:type="spellStart"/>
      <w:r w:rsidRPr="004E5B76">
        <w:rPr>
          <w:lang w:val="es-PA"/>
        </w:rPr>
        <w:t>IoMine</w:t>
      </w:r>
      <w:proofErr w:type="spellEnd"/>
      <w:r w:rsidRPr="004E5B76">
        <w:rPr>
          <w:lang w:val="es-PA"/>
        </w:rPr>
        <w:t xml:space="preserve">, en la </w:t>
      </w:r>
      <w:proofErr w:type="spellStart"/>
      <w:r w:rsidRPr="004E5B76">
        <w:rPr>
          <w:lang w:val="es-PA"/>
        </w:rPr>
        <w:t>MINExpo</w:t>
      </w:r>
      <w:proofErr w:type="spellEnd"/>
      <w:r w:rsidRPr="004E5B76">
        <w:rPr>
          <w:lang w:val="es-PA"/>
        </w:rPr>
        <w:t xml:space="preserve"> de este año. Los productos dentro de </w:t>
      </w:r>
      <w:proofErr w:type="spellStart"/>
      <w:r w:rsidRPr="004E5B76">
        <w:rPr>
          <w:lang w:val="es-PA"/>
        </w:rPr>
        <w:t>IoMine</w:t>
      </w:r>
      <w:proofErr w:type="spellEnd"/>
      <w:r w:rsidRPr="004E5B76">
        <w:rPr>
          <w:lang w:val="es-PA"/>
        </w:rPr>
        <w:t xml:space="preserve"> se dividen en tres familias de productos distintas, cada una dedicada a un aspecto específico de las operaciones mineras: </w:t>
      </w:r>
      <w:proofErr w:type="spellStart"/>
      <w:r w:rsidRPr="004E5B76">
        <w:rPr>
          <w:lang w:val="es-PA"/>
        </w:rPr>
        <w:t>Operate</w:t>
      </w:r>
      <w:proofErr w:type="spellEnd"/>
      <w:r w:rsidRPr="004E5B76">
        <w:rPr>
          <w:lang w:val="es-PA"/>
        </w:rPr>
        <w:t xml:space="preserve">, </w:t>
      </w:r>
      <w:proofErr w:type="spellStart"/>
      <w:r w:rsidRPr="004E5B76">
        <w:rPr>
          <w:lang w:val="es-PA"/>
        </w:rPr>
        <w:t>Automate</w:t>
      </w:r>
      <w:proofErr w:type="spellEnd"/>
      <w:r w:rsidRPr="004E5B76">
        <w:rPr>
          <w:lang w:val="es-PA"/>
        </w:rPr>
        <w:t xml:space="preserve"> y </w:t>
      </w:r>
      <w:proofErr w:type="spellStart"/>
      <w:r w:rsidRPr="004E5B76">
        <w:rPr>
          <w:lang w:val="es-PA"/>
        </w:rPr>
        <w:t>Maintain</w:t>
      </w:r>
      <w:proofErr w:type="spellEnd"/>
      <w:r w:rsidRPr="004E5B76">
        <w:rPr>
          <w:lang w:val="es-PA"/>
        </w:rPr>
        <w:t xml:space="preserve">. Los productos </w:t>
      </w:r>
      <w:proofErr w:type="spellStart"/>
      <w:r w:rsidRPr="004E5B76">
        <w:rPr>
          <w:lang w:val="es-PA"/>
        </w:rPr>
        <w:t>Operate</w:t>
      </w:r>
      <w:proofErr w:type="spellEnd"/>
      <w:r w:rsidRPr="004E5B76">
        <w:rPr>
          <w:lang w:val="es-PA"/>
        </w:rPr>
        <w:t xml:space="preserve"> están diseñados para optimizar y mejorar las actividades mineras diarias al recopilar, analizar y aprovechar datos de las máquinas Liebherr. La familia de productos </w:t>
      </w:r>
      <w:proofErr w:type="spellStart"/>
      <w:r w:rsidRPr="004E5B76">
        <w:rPr>
          <w:lang w:val="es-PA"/>
        </w:rPr>
        <w:t>Automate</w:t>
      </w:r>
      <w:proofErr w:type="spellEnd"/>
      <w:r w:rsidRPr="004E5B76">
        <w:rPr>
          <w:lang w:val="es-PA"/>
        </w:rPr>
        <w:t xml:space="preserve"> ofrece a los clientes soluciones tanto totalmente autónomas como </w:t>
      </w:r>
      <w:proofErr w:type="spellStart"/>
      <w:r w:rsidRPr="004E5B76">
        <w:rPr>
          <w:lang w:val="es-PA"/>
        </w:rPr>
        <w:t>semi-autónomas</w:t>
      </w:r>
      <w:proofErr w:type="spellEnd"/>
      <w:r w:rsidRPr="004E5B76">
        <w:rPr>
          <w:lang w:val="es-PA"/>
        </w:rPr>
        <w:t xml:space="preserve"> para sus flotas. Y las soluciones dentro de la familia de productos </w:t>
      </w:r>
      <w:proofErr w:type="spellStart"/>
      <w:r w:rsidRPr="004E5B76">
        <w:rPr>
          <w:lang w:val="es-PA"/>
        </w:rPr>
        <w:t>Maintain</w:t>
      </w:r>
      <w:proofErr w:type="spellEnd"/>
      <w:r w:rsidRPr="004E5B76">
        <w:rPr>
          <w:lang w:val="es-PA"/>
        </w:rPr>
        <w:t xml:space="preserve"> están diseñadas para agilizar la resolución de problemas para el personal en el lugar.</w:t>
      </w:r>
    </w:p>
    <w:p w14:paraId="5F2F6FC3" w14:textId="77777777" w:rsidR="004E5B76" w:rsidRPr="004E5B76" w:rsidRDefault="004E5B76" w:rsidP="004E5B76">
      <w:pPr>
        <w:pStyle w:val="Copytext11Pt"/>
        <w:rPr>
          <w:lang w:val="es-PA"/>
        </w:rPr>
      </w:pPr>
      <w:r w:rsidRPr="004E5B76">
        <w:rPr>
          <w:lang w:val="es-PA"/>
        </w:rPr>
        <w:t xml:space="preserve">Los visitantes del stand de Liebherr podrán participar en una demostración de Liebherr Remote Control, más comúnmente conocido como </w:t>
      </w:r>
      <w:proofErr w:type="spellStart"/>
      <w:r w:rsidRPr="004E5B76">
        <w:rPr>
          <w:lang w:val="es-PA"/>
        </w:rPr>
        <w:t>LiReCon</w:t>
      </w:r>
      <w:proofErr w:type="spellEnd"/>
      <w:r w:rsidRPr="004E5B76">
        <w:rPr>
          <w:lang w:val="es-PA"/>
        </w:rPr>
        <w:t xml:space="preserve">, que es un ejemplo de uno de los productos </w:t>
      </w:r>
      <w:proofErr w:type="spellStart"/>
      <w:r w:rsidRPr="004E5B76">
        <w:rPr>
          <w:lang w:val="es-PA"/>
        </w:rPr>
        <w:t>Automate</w:t>
      </w:r>
      <w:proofErr w:type="spellEnd"/>
      <w:r w:rsidRPr="004E5B76">
        <w:rPr>
          <w:lang w:val="es-PA"/>
        </w:rPr>
        <w:t xml:space="preserve"> dentro de </w:t>
      </w:r>
      <w:proofErr w:type="spellStart"/>
      <w:r w:rsidRPr="004E5B76">
        <w:rPr>
          <w:lang w:val="es-PA"/>
        </w:rPr>
        <w:t>IoMine</w:t>
      </w:r>
      <w:proofErr w:type="spellEnd"/>
      <w:r w:rsidRPr="004E5B76">
        <w:rPr>
          <w:lang w:val="es-PA"/>
        </w:rPr>
        <w:t xml:space="preserve">. </w:t>
      </w:r>
      <w:proofErr w:type="spellStart"/>
      <w:r w:rsidRPr="004E5B76">
        <w:rPr>
          <w:lang w:val="es-PA"/>
        </w:rPr>
        <w:t>LiReCon</w:t>
      </w:r>
      <w:proofErr w:type="spellEnd"/>
      <w:r w:rsidRPr="004E5B76">
        <w:rPr>
          <w:lang w:val="es-PA"/>
        </w:rPr>
        <w:t xml:space="preserve"> es el sistema de </w:t>
      </w:r>
      <w:proofErr w:type="spellStart"/>
      <w:r w:rsidRPr="004E5B76">
        <w:rPr>
          <w:lang w:val="es-PA"/>
        </w:rPr>
        <w:t>teleoperaciones</w:t>
      </w:r>
      <w:proofErr w:type="spellEnd"/>
      <w:r w:rsidRPr="004E5B76">
        <w:rPr>
          <w:lang w:val="es-PA"/>
        </w:rPr>
        <w:t xml:space="preserve"> para las </w:t>
      </w:r>
      <w:proofErr w:type="spellStart"/>
      <w:r w:rsidRPr="004E5B76">
        <w:rPr>
          <w:lang w:val="es-PA"/>
        </w:rPr>
        <w:t>buldócers</w:t>
      </w:r>
      <w:proofErr w:type="spellEnd"/>
      <w:r w:rsidRPr="004E5B76">
        <w:rPr>
          <w:lang w:val="es-PA"/>
        </w:rPr>
        <w:t xml:space="preserve"> Liebherr que ayudan a mantener a los operadores seguros mientras aumenta el tiempo de actividad y la productividad del equipo. </w:t>
      </w:r>
    </w:p>
    <w:p w14:paraId="729E721C" w14:textId="6E004F69" w:rsidR="008A1629" w:rsidRPr="005E10DA" w:rsidRDefault="008A1629" w:rsidP="00DE526A">
      <w:pPr>
        <w:pStyle w:val="Copyhead11Pt"/>
        <w:rPr>
          <w:lang w:val="es-ES"/>
        </w:rPr>
      </w:pPr>
      <w:r w:rsidRPr="005E10DA">
        <w:rPr>
          <w:lang w:val="es-MX"/>
        </w:rPr>
        <w:t>Excelencia en el servicio: asistencia cuando y donde la necesite</w:t>
      </w:r>
    </w:p>
    <w:p w14:paraId="438C87B2" w14:textId="05CD963A" w:rsidR="008A1629" w:rsidRPr="009E66B1" w:rsidRDefault="00D545EF" w:rsidP="00DE526A">
      <w:pPr>
        <w:pStyle w:val="Copytext11Pt"/>
        <w:rPr>
          <w:lang w:val="es-ES"/>
        </w:rPr>
      </w:pPr>
      <w:r>
        <w:rPr>
          <w:lang w:val="es-MX"/>
        </w:rPr>
        <w:t xml:space="preserve">En la </w:t>
      </w:r>
      <w:proofErr w:type="spellStart"/>
      <w:r>
        <w:rPr>
          <w:lang w:val="es-MX"/>
        </w:rPr>
        <w:t>MINExpo</w:t>
      </w:r>
      <w:proofErr w:type="spellEnd"/>
      <w:r>
        <w:rPr>
          <w:lang w:val="es-MX"/>
        </w:rPr>
        <w:t xml:space="preserve"> de este año, Liebherr demostrará también sus capacidades como socio para la excelencia en el servicio con su gama de productos de servicio para la minería. En este sentido, la empresa pone de relieve su recién lanzado producto Remote </w:t>
      </w:r>
      <w:proofErr w:type="spellStart"/>
      <w:r>
        <w:rPr>
          <w:lang w:val="es-MX"/>
        </w:rPr>
        <w:t>Service</w:t>
      </w:r>
      <w:proofErr w:type="spellEnd"/>
      <w:r>
        <w:rPr>
          <w:lang w:val="es-MX"/>
        </w:rPr>
        <w:t>, diseñado para ayudar a los técnicos</w:t>
      </w:r>
      <w:r>
        <w:rPr>
          <w:i/>
          <w:iCs/>
          <w:lang w:val="es-MX"/>
        </w:rPr>
        <w:t xml:space="preserve"> in situ </w:t>
      </w:r>
      <w:r>
        <w:rPr>
          <w:lang w:val="es-MX"/>
        </w:rPr>
        <w:t>a comunicarse con los expertos de Liebherr para agilizar el proceso de mantenimiento y reparación. Los visitantes del stand de Liebherr comprobarán también cómo el fabricante de equipos originales apoya a los clientes, desde la consulta inicial sobre el equipamiento —con el personal altamente calificado de ingeniería de aplicaciones de Liebherr— hasta el mantenimiento de la máquina, la asistencia al cliente y las actualizaciones del equipamiento.</w:t>
      </w:r>
      <w:r>
        <w:rPr>
          <w:color w:val="FF0000"/>
          <w:lang w:val="es-MX"/>
        </w:rPr>
        <w:t xml:space="preserve"> </w:t>
      </w:r>
    </w:p>
    <w:p w14:paraId="5666EA4C" w14:textId="2003D7D1" w:rsidR="008A1629" w:rsidRPr="009E66B1" w:rsidRDefault="008A1629" w:rsidP="00DE526A">
      <w:pPr>
        <w:pStyle w:val="Copyhead11Pt"/>
        <w:rPr>
          <w:lang w:val="es-ES"/>
        </w:rPr>
      </w:pPr>
      <w:proofErr w:type="spellStart"/>
      <w:r>
        <w:rPr>
          <w:bCs/>
          <w:lang w:val="es-MX"/>
        </w:rPr>
        <w:t>Innovation</w:t>
      </w:r>
      <w:proofErr w:type="spellEnd"/>
      <w:r>
        <w:rPr>
          <w:bCs/>
          <w:lang w:val="es-MX"/>
        </w:rPr>
        <w:t xml:space="preserve"> </w:t>
      </w:r>
      <w:proofErr w:type="spellStart"/>
      <w:r>
        <w:rPr>
          <w:bCs/>
          <w:lang w:val="es-MX"/>
        </w:rPr>
        <w:t>Lab</w:t>
      </w:r>
      <w:proofErr w:type="spellEnd"/>
      <w:r>
        <w:rPr>
          <w:bCs/>
          <w:lang w:val="es-MX"/>
        </w:rPr>
        <w:t xml:space="preserve">: las soluciones del mañana para hoy </w:t>
      </w:r>
    </w:p>
    <w:p w14:paraId="7380DFA9" w14:textId="026EE970" w:rsidR="00CC5D5A" w:rsidRPr="009E66B1" w:rsidRDefault="00E17B3F" w:rsidP="009F4AF4">
      <w:pPr>
        <w:pStyle w:val="Copytext11Pt"/>
        <w:rPr>
          <w:lang w:val="es-ES"/>
        </w:rPr>
      </w:pPr>
      <w:r>
        <w:rPr>
          <w:lang w:val="es-MX"/>
        </w:rPr>
        <w:t xml:space="preserve">En el </w:t>
      </w:r>
      <w:proofErr w:type="spellStart"/>
      <w:r>
        <w:rPr>
          <w:lang w:val="es-MX"/>
        </w:rPr>
        <w:t>Innovation</w:t>
      </w:r>
      <w:proofErr w:type="spellEnd"/>
      <w:r>
        <w:rPr>
          <w:lang w:val="es-MX"/>
        </w:rPr>
        <w:t xml:space="preserve"> </w:t>
      </w:r>
      <w:proofErr w:type="spellStart"/>
      <w:r>
        <w:rPr>
          <w:lang w:val="es-MX"/>
        </w:rPr>
        <w:t>Lab</w:t>
      </w:r>
      <w:proofErr w:type="spellEnd"/>
      <w:r>
        <w:rPr>
          <w:lang w:val="es-MX"/>
        </w:rPr>
        <w:t xml:space="preserve"> de Liebherr se presentan una serie de conceptos pioneros para el futuro de la minería procedentes de varios segmentos de productos de Liebherr. Para la feria de este año, el segmento de productos de minería de Liebherr presentará dos nuevos conceptos tecnológicos: Liebherr Power Rail y S1 </w:t>
      </w:r>
      <w:proofErr w:type="spellStart"/>
      <w:r>
        <w:rPr>
          <w:lang w:val="es-MX"/>
        </w:rPr>
        <w:t>Vision</w:t>
      </w:r>
      <w:proofErr w:type="spellEnd"/>
      <w:r>
        <w:rPr>
          <w:lang w:val="es-MX"/>
        </w:rPr>
        <w:t xml:space="preserve">. Liebherr Power Rail se basa en la acreditada tecnología de </w:t>
      </w:r>
      <w:proofErr w:type="spellStart"/>
      <w:r>
        <w:rPr>
          <w:i/>
          <w:iCs/>
          <w:lang w:val="es-MX"/>
        </w:rPr>
        <w:t>trolley</w:t>
      </w:r>
      <w:proofErr w:type="spellEnd"/>
      <w:r>
        <w:rPr>
          <w:i/>
          <w:iCs/>
          <w:lang w:val="es-MX"/>
        </w:rPr>
        <w:t xml:space="preserve"> bar</w:t>
      </w:r>
      <w:r>
        <w:rPr>
          <w:lang w:val="es-MX"/>
        </w:rPr>
        <w:t xml:space="preserve"> de Liebherr y se ha diseñado como una solución de </w:t>
      </w:r>
      <w:proofErr w:type="spellStart"/>
      <w:r>
        <w:rPr>
          <w:i/>
          <w:iCs/>
          <w:lang w:val="es-MX"/>
        </w:rPr>
        <w:t>trolley</w:t>
      </w:r>
      <w:proofErr w:type="spellEnd"/>
      <w:r>
        <w:rPr>
          <w:i/>
          <w:iCs/>
          <w:lang w:val="es-MX"/>
        </w:rPr>
        <w:t xml:space="preserve"> </w:t>
      </w:r>
      <w:r>
        <w:rPr>
          <w:lang w:val="es-MX"/>
        </w:rPr>
        <w:t xml:space="preserve">independiente de la clase para fomentar el crecimiento de las flotas de transporte con cero emisiones. El S1 </w:t>
      </w:r>
      <w:proofErr w:type="spellStart"/>
      <w:r>
        <w:rPr>
          <w:lang w:val="es-MX"/>
        </w:rPr>
        <w:t>Vision</w:t>
      </w:r>
      <w:proofErr w:type="spellEnd"/>
      <w:r>
        <w:rPr>
          <w:lang w:val="es-MX"/>
        </w:rPr>
        <w:t xml:space="preserve"> es un camión de un solo eje que cuenta con un número reducido de componentes, menores requisitos de mantenimiento, una mejor relación entre carga útil y peso en vacío (EVW) y un costo global por tonelada inferior al de los camiones tradicionales de varios ejes. </w:t>
      </w:r>
    </w:p>
    <w:p w14:paraId="0885701C" w14:textId="775CA836" w:rsidR="00DC7584" w:rsidRPr="009E66B1" w:rsidDel="004F5555" w:rsidRDefault="00EE71A7" w:rsidP="00F1269D">
      <w:pPr>
        <w:pStyle w:val="Bulletpoints11Pt"/>
        <w:numPr>
          <w:ilvl w:val="0"/>
          <w:numId w:val="0"/>
        </w:numPr>
        <w:spacing w:after="240"/>
        <w:rPr>
          <w:b w:val="0"/>
          <w:lang w:val="es-ES"/>
        </w:rPr>
      </w:pPr>
      <w:r>
        <w:rPr>
          <w:b w:val="0"/>
          <w:lang w:val="es-MX"/>
        </w:rPr>
        <w:lastRenderedPageBreak/>
        <w:t>El segmento de productos de componentes de Liebherr presentará tecnologías innovadoras de Liebherr como núcleo de cada potente máquina de minería. El compromiso de Liebherr con la excelencia y la sostenibilidad se demuestra en cada uno de los componentes y servicios expuestos, ya sea un motor de hidrógeno, un mecanismo de desplazamiento o tracción de las ruedas, un cilindro hidráulico híbrido de CFRP, una corona de giro avanzado con monitoreo de la corona de giro o el programa de reciclaje. Estos elementos vitales no solo aseguran la fiabilidad de las máquinas para minería, sino que también ofrecen su extraordinario rendimiento en las condiciones más duras.</w:t>
      </w:r>
    </w:p>
    <w:p w14:paraId="66543689" w14:textId="0A78D230" w:rsidR="00E93DF6" w:rsidRPr="009E66B1" w:rsidRDefault="7F129D94" w:rsidP="00F1269D">
      <w:pPr>
        <w:pStyle w:val="Bulletpoints11Pt"/>
        <w:numPr>
          <w:ilvl w:val="0"/>
          <w:numId w:val="0"/>
        </w:numPr>
        <w:spacing w:after="240"/>
        <w:rPr>
          <w:rFonts w:eastAsia="Arial"/>
          <w:b w:val="0"/>
          <w:color w:val="000000" w:themeColor="text1"/>
          <w:lang w:val="es-ES"/>
        </w:rPr>
      </w:pPr>
      <w:r>
        <w:rPr>
          <w:b w:val="0"/>
          <w:color w:val="000000" w:themeColor="text1"/>
          <w:lang w:val="es-MX"/>
        </w:rPr>
        <w:t xml:space="preserve">Otro elemento destacado expuesto en el </w:t>
      </w:r>
      <w:proofErr w:type="spellStart"/>
      <w:r>
        <w:rPr>
          <w:b w:val="0"/>
          <w:color w:val="000000" w:themeColor="text1"/>
          <w:lang w:val="es-MX"/>
        </w:rPr>
        <w:t>Innovation</w:t>
      </w:r>
      <w:proofErr w:type="spellEnd"/>
      <w:r>
        <w:rPr>
          <w:b w:val="0"/>
          <w:color w:val="000000" w:themeColor="text1"/>
          <w:lang w:val="es-MX"/>
        </w:rPr>
        <w:t xml:space="preserve"> </w:t>
      </w:r>
      <w:proofErr w:type="spellStart"/>
      <w:r>
        <w:rPr>
          <w:b w:val="0"/>
          <w:color w:val="000000" w:themeColor="text1"/>
          <w:lang w:val="es-MX"/>
        </w:rPr>
        <w:t>Lab</w:t>
      </w:r>
      <w:proofErr w:type="spellEnd"/>
      <w:r>
        <w:rPr>
          <w:b w:val="0"/>
          <w:color w:val="000000" w:themeColor="text1"/>
          <w:lang w:val="es-MX"/>
        </w:rPr>
        <w:t xml:space="preserve"> es un compresor de 55 kW. Gracias a la experiencia acumulada durante las dos últimas décadas y al desarrollo conjunto de los segmentos de productos de componentes y sistemas aeronáuticos y ferroviarios de Liebherr, el compresor de alta velocidad es accionado por un motor eléctrico y dispone de un cojinete neumático. Estos compresores no necesitan lubricación y suministran aire comprimido limpio a la pila de combustible, sin contaminar la membrana. Esta tecnología facilita el despliegue de sistemas de propulsión de pilas de combustible que solo emiten agua y calor, lo que contribuye a un transporte más respetuoso con el medio ambiente. El compresor de 55 kW de Liebherr se basa en un sistema evolucionado con un diseño optimizado, rentable y estandarizado que puede adaptarse a requisitos específicos con costos reducidos. Uno de estos compresores se utiliza actualmente a bordo de los trenes </w:t>
      </w:r>
      <w:proofErr w:type="spellStart"/>
      <w:r>
        <w:rPr>
          <w:b w:val="0"/>
          <w:color w:val="000000" w:themeColor="text1"/>
          <w:lang w:val="es-MX"/>
        </w:rPr>
        <w:t>Autorail</w:t>
      </w:r>
      <w:proofErr w:type="spellEnd"/>
      <w:r>
        <w:rPr>
          <w:b w:val="0"/>
          <w:color w:val="000000" w:themeColor="text1"/>
          <w:lang w:val="es-MX"/>
        </w:rPr>
        <w:t xml:space="preserve"> à Grand Capacité (AGC) de </w:t>
      </w:r>
      <w:proofErr w:type="spellStart"/>
      <w:r>
        <w:rPr>
          <w:b w:val="0"/>
          <w:color w:val="000000" w:themeColor="text1"/>
          <w:lang w:val="es-MX"/>
        </w:rPr>
        <w:t>Bombardier</w:t>
      </w:r>
      <w:proofErr w:type="spellEnd"/>
      <w:r>
        <w:rPr>
          <w:b w:val="0"/>
          <w:color w:val="000000" w:themeColor="text1"/>
          <w:lang w:val="es-MX"/>
        </w:rPr>
        <w:t xml:space="preserve"> de la SNCF, que prestan servicio en la región francesa de Occitania. El compresor forma parte del sistema de aire acondicionado basado en una tecnología de ciclo de aire respetuosa con el medio ambiente, que emplea únicamente aire ambiente como refrigerante en lugar de refrigerantes químicos convencionales.</w:t>
      </w:r>
    </w:p>
    <w:p w14:paraId="3F98AF2B" w14:textId="7B1C73F4" w:rsidR="008A1629" w:rsidRPr="009E66B1" w:rsidRDefault="008A1629" w:rsidP="00F1269D">
      <w:pPr>
        <w:tabs>
          <w:tab w:val="left" w:pos="708"/>
        </w:tabs>
        <w:spacing w:after="240"/>
        <w:rPr>
          <w:lang w:val="es-ES"/>
        </w:rPr>
      </w:pPr>
      <w:r>
        <w:rPr>
          <w:rFonts w:ascii="Arial" w:hAnsi="Arial" w:cs="Arial"/>
          <w:lang w:val="es-MX"/>
        </w:rPr>
        <w:t xml:space="preserve">Para obtener más información, visite </w:t>
      </w:r>
      <w:hyperlink r:id="rId11">
        <w:r>
          <w:rPr>
            <w:rStyle w:val="Hyperlink"/>
            <w:rFonts w:ascii="Arial" w:hAnsi="Arial" w:cs="Arial"/>
            <w:lang w:val="es-MX"/>
          </w:rPr>
          <w:t>liebherr.com/</w:t>
        </w:r>
        <w:proofErr w:type="spellStart"/>
        <w:r>
          <w:rPr>
            <w:rStyle w:val="Hyperlink"/>
            <w:rFonts w:ascii="Arial" w:hAnsi="Arial" w:cs="Arial"/>
            <w:lang w:val="es-MX"/>
          </w:rPr>
          <w:t>minexpo</w:t>
        </w:r>
        <w:proofErr w:type="spellEnd"/>
      </w:hyperlink>
    </w:p>
    <w:p w14:paraId="6560D68B" w14:textId="4A401574" w:rsidR="0019716D" w:rsidRPr="004E0E46" w:rsidRDefault="0019716D" w:rsidP="0019716D">
      <w:pPr>
        <w:pStyle w:val="BoilerplateCopyhead9Pt"/>
      </w:pPr>
      <w:proofErr w:type="spellStart"/>
      <w:r w:rsidRPr="009E66B1">
        <w:rPr>
          <w:bCs/>
          <w:lang w:val="en-GB"/>
        </w:rPr>
        <w:t>Acerca</w:t>
      </w:r>
      <w:proofErr w:type="spellEnd"/>
      <w:r w:rsidRPr="009E66B1">
        <w:rPr>
          <w:bCs/>
          <w:lang w:val="en-GB"/>
        </w:rPr>
        <w:t xml:space="preserve"> del Grupo Liebherr: 75 years of moving forward</w:t>
      </w:r>
    </w:p>
    <w:p w14:paraId="51D31176" w14:textId="16493E21" w:rsidR="00316FCC" w:rsidRPr="009E66B1" w:rsidRDefault="0019716D" w:rsidP="009F4AF4">
      <w:pPr>
        <w:pStyle w:val="BoilerplateCopytext9Pt"/>
        <w:rPr>
          <w:lang w:val="es-ES"/>
        </w:rPr>
      </w:pPr>
      <w:r>
        <w:rPr>
          <w:lang w:val="es-MX"/>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Pr>
          <w:lang w:val="es-MX"/>
        </w:rPr>
        <w:t>Kirchdorf</w:t>
      </w:r>
      <w:proofErr w:type="spellEnd"/>
      <w:r>
        <w:rPr>
          <w:lang w:val="es-MX"/>
        </w:rPr>
        <w:t xml:space="preserve"> </w:t>
      </w:r>
      <w:proofErr w:type="spellStart"/>
      <w:r>
        <w:rPr>
          <w:lang w:val="es-MX"/>
        </w:rPr>
        <w:t>an</w:t>
      </w:r>
      <w:proofErr w:type="spellEnd"/>
      <w:r>
        <w:rPr>
          <w:lang w:val="es-MX"/>
        </w:rPr>
        <w:t xml:space="preserve"> </w:t>
      </w:r>
      <w:proofErr w:type="spellStart"/>
      <w:r>
        <w:rPr>
          <w:lang w:val="es-MX"/>
        </w:rPr>
        <w:t>der</w:t>
      </w:r>
      <w:proofErr w:type="spellEnd"/>
      <w:r>
        <w:rPr>
          <w:lang w:val="es-MX"/>
        </w:rPr>
        <w:t xml:space="preserve"> </w:t>
      </w:r>
      <w:proofErr w:type="spellStart"/>
      <w:r>
        <w:rPr>
          <w:lang w:val="es-MX"/>
        </w:rPr>
        <w:t>Iller</w:t>
      </w:r>
      <w:proofErr w:type="spellEnd"/>
      <w:r>
        <w:rPr>
          <w:lang w:val="es-MX"/>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Pr>
          <w:lang w:val="es-MX"/>
        </w:rPr>
        <w:t>years</w:t>
      </w:r>
      <w:proofErr w:type="spellEnd"/>
      <w:r>
        <w:rPr>
          <w:lang w:val="es-MX"/>
        </w:rPr>
        <w:t xml:space="preserve"> </w:t>
      </w:r>
      <w:proofErr w:type="spellStart"/>
      <w:r>
        <w:rPr>
          <w:lang w:val="es-MX"/>
        </w:rPr>
        <w:t>of</w:t>
      </w:r>
      <w:proofErr w:type="spellEnd"/>
      <w:r>
        <w:rPr>
          <w:lang w:val="es-MX"/>
        </w:rPr>
        <w:t xml:space="preserve"> </w:t>
      </w:r>
      <w:proofErr w:type="spellStart"/>
      <w:r>
        <w:rPr>
          <w:lang w:val="es-MX"/>
        </w:rPr>
        <w:t>moving</w:t>
      </w:r>
      <w:proofErr w:type="spellEnd"/>
      <w:r>
        <w:rPr>
          <w:lang w:val="es-MX"/>
        </w:rPr>
        <w:t xml:space="preserve"> forward». </w:t>
      </w:r>
    </w:p>
    <w:p w14:paraId="70C2A5F9" w14:textId="77777777" w:rsidR="00CB1AF1" w:rsidRDefault="00CB1AF1" w:rsidP="004F0356">
      <w:pPr>
        <w:pStyle w:val="Copyhead11Pt"/>
        <w:rPr>
          <w:bCs/>
          <w:lang w:val="es-ES"/>
        </w:rPr>
      </w:pPr>
    </w:p>
    <w:p w14:paraId="26DD34B5" w14:textId="77777777" w:rsidR="00A058D6" w:rsidRDefault="00A058D6" w:rsidP="004F0356">
      <w:pPr>
        <w:pStyle w:val="Copyhead11Pt"/>
        <w:rPr>
          <w:bCs/>
          <w:lang w:val="es-ES"/>
        </w:rPr>
      </w:pPr>
    </w:p>
    <w:p w14:paraId="54A8E425" w14:textId="77777777" w:rsidR="00A058D6" w:rsidRDefault="00A058D6" w:rsidP="004F0356">
      <w:pPr>
        <w:pStyle w:val="Copyhead11Pt"/>
        <w:rPr>
          <w:bCs/>
          <w:lang w:val="es-ES"/>
        </w:rPr>
      </w:pPr>
    </w:p>
    <w:p w14:paraId="5A5804B9" w14:textId="77777777" w:rsidR="00A058D6" w:rsidRDefault="00A058D6" w:rsidP="004F0356">
      <w:pPr>
        <w:pStyle w:val="Copyhead11Pt"/>
        <w:rPr>
          <w:bCs/>
          <w:lang w:val="es-ES"/>
        </w:rPr>
      </w:pPr>
    </w:p>
    <w:p w14:paraId="18A1A523" w14:textId="77777777" w:rsidR="00A058D6" w:rsidRDefault="00A058D6" w:rsidP="004F0356">
      <w:pPr>
        <w:pStyle w:val="Copyhead11Pt"/>
        <w:rPr>
          <w:bCs/>
          <w:lang w:val="es-ES"/>
        </w:rPr>
      </w:pPr>
    </w:p>
    <w:p w14:paraId="4952393A" w14:textId="77777777" w:rsidR="00A058D6" w:rsidRDefault="00A058D6" w:rsidP="004F0356">
      <w:pPr>
        <w:pStyle w:val="Copyhead11Pt"/>
        <w:rPr>
          <w:bCs/>
          <w:lang w:val="es-ES"/>
        </w:rPr>
      </w:pPr>
    </w:p>
    <w:p w14:paraId="1A16D429" w14:textId="77777777" w:rsidR="00A058D6" w:rsidRPr="009E66B1" w:rsidRDefault="00A058D6" w:rsidP="004F0356">
      <w:pPr>
        <w:pStyle w:val="Copyhead11Pt"/>
        <w:rPr>
          <w:bCs/>
          <w:lang w:val="es-ES"/>
        </w:rPr>
      </w:pPr>
    </w:p>
    <w:p w14:paraId="0B5E6671" w14:textId="39B93F37" w:rsidR="007153E1" w:rsidRDefault="003E3CB4" w:rsidP="004F0356">
      <w:pPr>
        <w:pStyle w:val="Copyhead11Pt"/>
        <w:rPr>
          <w:bCs/>
          <w:lang w:val="es-MX"/>
        </w:rPr>
      </w:pPr>
      <w:r w:rsidRPr="006C008B">
        <w:rPr>
          <w:bCs/>
          <w:lang w:val="es-MX"/>
        </w:rPr>
        <w:lastRenderedPageBreak/>
        <w:t>Imágenes</w:t>
      </w:r>
    </w:p>
    <w:p w14:paraId="56B7E541" w14:textId="35F813A9" w:rsidR="00973591" w:rsidRDefault="006B3967" w:rsidP="00AC3868">
      <w:pPr>
        <w:pStyle w:val="Caption9Pt"/>
        <w:rPr>
          <w:lang w:val="es-MX"/>
        </w:rPr>
      </w:pPr>
      <w:r>
        <w:rPr>
          <w:b/>
          <w:bCs/>
          <w:noProof/>
        </w:rPr>
        <w:drawing>
          <wp:anchor distT="0" distB="0" distL="114300" distR="114300" simplePos="0" relativeHeight="251660289" behindDoc="0" locked="0" layoutInCell="1" allowOverlap="1" wp14:anchorId="6E9DB3FD" wp14:editId="52E9BA54">
            <wp:simplePos x="0" y="0"/>
            <wp:positionH relativeFrom="margin">
              <wp:align>left</wp:align>
            </wp:positionH>
            <wp:positionV relativeFrom="paragraph">
              <wp:posOffset>90805</wp:posOffset>
            </wp:positionV>
            <wp:extent cx="3272790" cy="2181860"/>
            <wp:effectExtent l="0" t="0" r="3810" b="8890"/>
            <wp:wrapTopAndBottom/>
            <wp:docPr id="2067824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24464" name="Picture 20678244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2790" cy="2181860"/>
                    </a:xfrm>
                    <a:prstGeom prst="rect">
                      <a:avLst/>
                    </a:prstGeom>
                  </pic:spPr>
                </pic:pic>
              </a:graphicData>
            </a:graphic>
            <wp14:sizeRelH relativeFrom="page">
              <wp14:pctWidth>0</wp14:pctWidth>
            </wp14:sizeRelH>
            <wp14:sizeRelV relativeFrom="page">
              <wp14:pctHeight>0</wp14:pctHeight>
            </wp14:sizeRelV>
          </wp:anchor>
        </w:drawing>
      </w:r>
      <w:r w:rsidR="00877D49" w:rsidRPr="00877D49">
        <w:rPr>
          <w:bCs/>
          <w:lang w:val="es-ES"/>
        </w:rPr>
        <w:t>liebherr-MINExpo-autonomous-battery-electric-T264-72dpi</w:t>
      </w:r>
      <w:r w:rsidR="00CB1AF1">
        <w:rPr>
          <w:lang w:val="es-MX"/>
        </w:rPr>
        <w:br/>
      </w:r>
      <w:r w:rsidR="00660DA7" w:rsidRPr="00660DA7">
        <w:rPr>
          <w:lang w:val="es-MX"/>
        </w:rPr>
        <w:t xml:space="preserve">El primer camión de transporte autónomo eléctrico a batería, el T 264, se presentó en un impresionante evento organizado por Liebherr y </w:t>
      </w:r>
      <w:proofErr w:type="spellStart"/>
      <w:r w:rsidR="00660DA7" w:rsidRPr="00660DA7">
        <w:rPr>
          <w:lang w:val="es-MX"/>
        </w:rPr>
        <w:t>Fortescue</w:t>
      </w:r>
      <w:proofErr w:type="spellEnd"/>
      <w:r w:rsidR="00660DA7" w:rsidRPr="00660DA7">
        <w:rPr>
          <w:lang w:val="es-MX"/>
        </w:rPr>
        <w:t xml:space="preserve"> en el stand de Liebherr.</w:t>
      </w:r>
    </w:p>
    <w:p w14:paraId="1432B09E" w14:textId="77777777" w:rsidR="00660DA7" w:rsidRPr="009E66B1" w:rsidRDefault="00660DA7" w:rsidP="00AC3868">
      <w:pPr>
        <w:pStyle w:val="Caption9Pt"/>
        <w:rPr>
          <w:lang w:val="es-ES"/>
        </w:rPr>
      </w:pPr>
    </w:p>
    <w:p w14:paraId="49961C84" w14:textId="62815875" w:rsidR="00226DB9" w:rsidRPr="001F303B" w:rsidRDefault="000C04F5" w:rsidP="00836097">
      <w:pPr>
        <w:pStyle w:val="Copyhead11Pt"/>
        <w:rPr>
          <w:lang w:val="es-ES"/>
        </w:rPr>
      </w:pPr>
      <w:r>
        <w:rPr>
          <w:b w:val="0"/>
          <w:bCs/>
          <w:noProof/>
          <w:sz w:val="18"/>
          <w:lang w:val="en-GB"/>
        </w:rPr>
        <w:drawing>
          <wp:anchor distT="0" distB="0" distL="114300" distR="114300" simplePos="0" relativeHeight="251658240" behindDoc="0" locked="0" layoutInCell="1" allowOverlap="1" wp14:anchorId="2DCEA35C" wp14:editId="3748F13C">
            <wp:simplePos x="0" y="0"/>
            <wp:positionH relativeFrom="margin">
              <wp:posOffset>0</wp:posOffset>
            </wp:positionH>
            <wp:positionV relativeFrom="paragraph">
              <wp:posOffset>0</wp:posOffset>
            </wp:positionV>
            <wp:extent cx="3303905" cy="2200910"/>
            <wp:effectExtent l="0" t="0" r="0" b="8890"/>
            <wp:wrapTopAndBottom/>
            <wp:docPr id="1678599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99636" name="Picture 16785996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905" cy="2200910"/>
                    </a:xfrm>
                    <a:prstGeom prst="rect">
                      <a:avLst/>
                    </a:prstGeom>
                  </pic:spPr>
                </pic:pic>
              </a:graphicData>
            </a:graphic>
            <wp14:sizeRelH relativeFrom="page">
              <wp14:pctWidth>0</wp14:pctWidth>
            </wp14:sizeRelH>
            <wp14:sizeRelV relativeFrom="page">
              <wp14:pctHeight>0</wp14:pctHeight>
            </wp14:sizeRelV>
          </wp:anchor>
        </w:drawing>
      </w:r>
      <w:r w:rsidR="00106419">
        <w:rPr>
          <w:b w:val="0"/>
          <w:bCs/>
          <w:noProof/>
          <w:sz w:val="18"/>
          <w:szCs w:val="14"/>
          <w:lang w:val="en-GB"/>
        </w:rPr>
        <w:drawing>
          <wp:anchor distT="0" distB="0" distL="114300" distR="114300" simplePos="0" relativeHeight="251658241" behindDoc="0" locked="0" layoutInCell="1" allowOverlap="1" wp14:anchorId="5C2FAD0F" wp14:editId="7ED441AF">
            <wp:simplePos x="0" y="0"/>
            <wp:positionH relativeFrom="margin">
              <wp:posOffset>-22225</wp:posOffset>
            </wp:positionH>
            <wp:positionV relativeFrom="paragraph">
              <wp:posOffset>2867025</wp:posOffset>
            </wp:positionV>
            <wp:extent cx="3276600" cy="2181860"/>
            <wp:effectExtent l="0" t="0" r="0" b="8890"/>
            <wp:wrapTopAndBottom/>
            <wp:docPr id="133994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B81" w:rsidRPr="00194F8B">
        <w:rPr>
          <w:b w:val="0"/>
          <w:bCs/>
          <w:sz w:val="18"/>
          <w:szCs w:val="14"/>
          <w:lang w:val="es-ES"/>
        </w:rPr>
        <w:t>liebherr-MINExpo-PR776-G8-72dpi</w:t>
      </w:r>
      <w:r w:rsidR="00194F8B" w:rsidRPr="00194F8B">
        <w:rPr>
          <w:b w:val="0"/>
          <w:bCs/>
          <w:sz w:val="18"/>
          <w:szCs w:val="14"/>
          <w:lang w:val="es-ES"/>
        </w:rPr>
        <w:br/>
      </w:r>
      <w:r w:rsidR="00194F8B" w:rsidRPr="00194F8B">
        <w:rPr>
          <w:b w:val="0"/>
          <w:bCs/>
          <w:sz w:val="18"/>
          <w:szCs w:val="14"/>
          <w:lang w:val="es-ES"/>
        </w:rPr>
        <w:t>Presentamos el PR 776 G8, la última generación del topador minero insignia de 70 toneladas de Liebherr.</w:t>
      </w:r>
    </w:p>
    <w:p w14:paraId="48E8043C" w14:textId="5D4BB487" w:rsidR="0053415E" w:rsidRPr="006D325F" w:rsidRDefault="00EE1C1A" w:rsidP="00836097">
      <w:pPr>
        <w:pStyle w:val="Copyhead11Pt"/>
        <w:rPr>
          <w:b w:val="0"/>
          <w:bCs/>
          <w:noProof/>
          <w:sz w:val="18"/>
          <w:szCs w:val="14"/>
          <w:lang w:val="es-ES"/>
        </w:rPr>
      </w:pPr>
      <w:r w:rsidRPr="006D325F">
        <w:rPr>
          <w:b w:val="0"/>
          <w:bCs/>
          <w:sz w:val="18"/>
          <w:szCs w:val="14"/>
          <w:lang w:val="es-ES"/>
        </w:rPr>
        <w:lastRenderedPageBreak/>
        <w:t>liebherr-MINExpo-innovation-lab-72dpi</w:t>
      </w:r>
      <w:r w:rsidRPr="006D325F">
        <w:rPr>
          <w:b w:val="0"/>
          <w:bCs/>
          <w:sz w:val="18"/>
          <w:szCs w:val="14"/>
          <w:lang w:val="es-ES"/>
        </w:rPr>
        <w:br/>
      </w:r>
      <w:r w:rsidR="006D325F" w:rsidRPr="006D325F">
        <w:rPr>
          <w:b w:val="0"/>
          <w:bCs/>
          <w:noProof/>
          <w:sz w:val="18"/>
          <w:szCs w:val="14"/>
          <w:lang w:val="es-ES"/>
        </w:rPr>
        <w:t xml:space="preserve">El </w:t>
      </w:r>
      <w:r w:rsidR="006D325F">
        <w:rPr>
          <w:b w:val="0"/>
          <w:bCs/>
          <w:noProof/>
          <w:sz w:val="18"/>
          <w:szCs w:val="14"/>
          <w:lang w:val="es-ES"/>
        </w:rPr>
        <w:t>Innovation Lab</w:t>
      </w:r>
      <w:r w:rsidR="006D325F" w:rsidRPr="006D325F">
        <w:rPr>
          <w:b w:val="0"/>
          <w:bCs/>
          <w:noProof/>
          <w:sz w:val="18"/>
          <w:szCs w:val="14"/>
          <w:lang w:val="es-ES"/>
        </w:rPr>
        <w:t xml:space="preserve"> en el stand de Liebherr muestra una gama de conceptos pioneros del Grupo para el futuro de la minería.</w:t>
      </w:r>
    </w:p>
    <w:p w14:paraId="7DD477A0" w14:textId="1F4C34E6" w:rsidR="00836097" w:rsidRPr="009E66B1" w:rsidRDefault="00836097" w:rsidP="00836097">
      <w:pPr>
        <w:pStyle w:val="Copyhead11Pt"/>
        <w:rPr>
          <w:lang w:val="es-ES"/>
        </w:rPr>
      </w:pPr>
      <w:r>
        <w:rPr>
          <w:bCs/>
          <w:lang w:val="es-MX"/>
        </w:rPr>
        <w:t>Contacto</w:t>
      </w:r>
    </w:p>
    <w:p w14:paraId="586DB3F4" w14:textId="77777777" w:rsidR="009A30D2" w:rsidRPr="009E66B1" w:rsidRDefault="009A30D2" w:rsidP="009A30D2">
      <w:pPr>
        <w:pStyle w:val="Copytext11Pt"/>
        <w:rPr>
          <w:rFonts w:cs="Arial"/>
          <w:szCs w:val="22"/>
          <w:lang w:val="es-ES"/>
        </w:rPr>
      </w:pPr>
      <w:r>
        <w:rPr>
          <w:rFonts w:cs="Arial"/>
          <w:szCs w:val="22"/>
          <w:lang w:val="es-MX"/>
        </w:rPr>
        <w:t>Larissa Lunitz</w:t>
      </w:r>
      <w:r>
        <w:rPr>
          <w:rFonts w:cs="Arial"/>
          <w:szCs w:val="22"/>
          <w:lang w:val="es-MX"/>
        </w:rPr>
        <w:br/>
        <w:t>Responsable de Relaciones Públicas</w:t>
      </w:r>
      <w:r>
        <w:rPr>
          <w:rFonts w:cs="Arial"/>
          <w:szCs w:val="22"/>
          <w:lang w:val="es-MX"/>
        </w:rPr>
        <w:br/>
        <w:t>Tel.: +41 79 645 70 67</w:t>
      </w:r>
      <w:r>
        <w:rPr>
          <w:rFonts w:cs="Arial"/>
          <w:szCs w:val="22"/>
          <w:lang w:val="es-MX"/>
        </w:rPr>
        <w:br/>
        <w:t xml:space="preserve">Correo electrónico: larissa.lunitz@liebherr.com </w:t>
      </w:r>
    </w:p>
    <w:p w14:paraId="039D72FB" w14:textId="77777777" w:rsidR="009A30D2" w:rsidRPr="004E0E46" w:rsidRDefault="009A30D2" w:rsidP="009A30D2">
      <w:pPr>
        <w:pStyle w:val="Copyhead11Pt"/>
        <w:rPr>
          <w:rFonts w:cs="Arial"/>
          <w:szCs w:val="22"/>
        </w:rPr>
      </w:pPr>
      <w:r>
        <w:rPr>
          <w:rFonts w:cs="Arial"/>
          <w:bCs/>
          <w:szCs w:val="22"/>
          <w:lang w:val="es-MX"/>
        </w:rPr>
        <w:t>Publicado por</w:t>
      </w:r>
    </w:p>
    <w:p w14:paraId="4A50CAC5" w14:textId="77777777" w:rsidR="009A30D2" w:rsidRPr="00CC48DF" w:rsidRDefault="009A30D2" w:rsidP="009A30D2">
      <w:pPr>
        <w:pStyle w:val="Copytext11Pt"/>
        <w:spacing w:after="0"/>
        <w:rPr>
          <w:rFonts w:eastAsiaTheme="minorEastAsia" w:cs="Arial"/>
          <w:szCs w:val="22"/>
        </w:rPr>
      </w:pPr>
      <w:r>
        <w:rPr>
          <w:rFonts w:eastAsiaTheme="minorEastAsia" w:cs="Arial"/>
          <w:szCs w:val="22"/>
          <w:lang w:val="es-MX"/>
        </w:rPr>
        <w:t xml:space="preserve">Liebherr-International AG </w:t>
      </w:r>
    </w:p>
    <w:p w14:paraId="187FBB44" w14:textId="4C86D367" w:rsidR="009A30D2" w:rsidRPr="00CC48DF" w:rsidRDefault="009A30D2" w:rsidP="009A30D2">
      <w:pPr>
        <w:pStyle w:val="Copytext11Pt"/>
        <w:spacing w:after="0"/>
        <w:rPr>
          <w:rFonts w:cs="Arial"/>
          <w:szCs w:val="22"/>
        </w:rPr>
      </w:pPr>
      <w:r>
        <w:rPr>
          <w:rFonts w:cs="Arial"/>
          <w:szCs w:val="22"/>
          <w:lang w:val="es-MX"/>
        </w:rPr>
        <w:t>General-Guisan-</w:t>
      </w:r>
      <w:proofErr w:type="spellStart"/>
      <w:r>
        <w:rPr>
          <w:rFonts w:cs="Arial"/>
          <w:szCs w:val="22"/>
          <w:lang w:val="es-MX"/>
        </w:rPr>
        <w:t>Strasse</w:t>
      </w:r>
      <w:proofErr w:type="spellEnd"/>
      <w:r>
        <w:rPr>
          <w:rFonts w:cs="Arial"/>
          <w:szCs w:val="22"/>
          <w:lang w:val="es-MX"/>
        </w:rPr>
        <w:t xml:space="preserve"> 6</w:t>
      </w:r>
      <w:r>
        <w:rPr>
          <w:rFonts w:cs="Arial"/>
          <w:szCs w:val="22"/>
          <w:lang w:val="es-MX"/>
        </w:rPr>
        <w:br/>
        <w:t xml:space="preserve">5415 </w:t>
      </w:r>
      <w:proofErr w:type="spellStart"/>
      <w:r>
        <w:rPr>
          <w:rFonts w:cs="Arial"/>
          <w:szCs w:val="22"/>
          <w:lang w:val="es-MX"/>
        </w:rPr>
        <w:t>Nussbaumen</w:t>
      </w:r>
      <w:proofErr w:type="spellEnd"/>
      <w:r>
        <w:rPr>
          <w:rFonts w:cs="Arial"/>
          <w:szCs w:val="22"/>
          <w:lang w:val="es-MX"/>
        </w:rPr>
        <w:t>, Suiza</w:t>
      </w:r>
      <w:r>
        <w:rPr>
          <w:rFonts w:cs="Arial"/>
          <w:szCs w:val="22"/>
          <w:lang w:val="es-MX"/>
        </w:rPr>
        <w:br/>
        <w:t>www.liebherr.com</w:t>
      </w:r>
    </w:p>
    <w:p w14:paraId="32EBBB9C" w14:textId="5A3D5436" w:rsidR="00B81ED6" w:rsidRPr="00CC48DF" w:rsidRDefault="00B81ED6" w:rsidP="00836097">
      <w:pPr>
        <w:pStyle w:val="Copyhead11Pt"/>
      </w:pPr>
    </w:p>
    <w:sectPr w:rsidR="00B81ED6" w:rsidRPr="00CC48DF"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6DBB" w14:textId="77777777" w:rsidR="00623BA4" w:rsidRDefault="00623BA4" w:rsidP="00B81ED6">
      <w:pPr>
        <w:spacing w:after="0" w:line="240" w:lineRule="auto"/>
      </w:pPr>
      <w:r>
        <w:separator/>
      </w:r>
    </w:p>
  </w:endnote>
  <w:endnote w:type="continuationSeparator" w:id="0">
    <w:p w14:paraId="264F5A00" w14:textId="77777777" w:rsidR="00623BA4" w:rsidRDefault="00623BA4" w:rsidP="00B81ED6">
      <w:pPr>
        <w:spacing w:after="0" w:line="240" w:lineRule="auto"/>
      </w:pPr>
      <w:r>
        <w:continuationSeparator/>
      </w:r>
    </w:p>
  </w:endnote>
  <w:endnote w:type="continuationNotice" w:id="1">
    <w:p w14:paraId="24BCA093" w14:textId="77777777" w:rsidR="00623BA4" w:rsidRDefault="00623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5E6925AC" w:rsidR="00DF40C0" w:rsidRPr="00E847CC" w:rsidRDefault="0093605C" w:rsidP="00E847CC">
    <w:pPr>
      <w:pStyle w:val="zzPageNumberLine"/>
      <w:rPr>
        <w:rFonts w:ascii="Arial" w:hAnsi="Arial" w:cs="Arial"/>
      </w:rPr>
    </w:pPr>
    <w:r>
      <w:rPr>
        <w:rFonts w:ascii="Arial" w:hAnsi="Arial" w:cs="Arial"/>
        <w:lang w:val="es-MX"/>
      </w:rPr>
      <w:fldChar w:fldCharType="begin"/>
    </w:r>
    <w:r>
      <w:rPr>
        <w:rFonts w:ascii="Arial" w:hAnsi="Arial" w:cs="Arial"/>
        <w:lang w:val="es-MX"/>
      </w:rPr>
      <w:instrText xml:space="preserve"> IF </w:instrText>
    </w:r>
    <w:r>
      <w:rPr>
        <w:rFonts w:ascii="Arial" w:hAnsi="Arial" w:cs="Arial"/>
        <w:lang w:val="es-MX"/>
      </w:rPr>
      <w:fldChar w:fldCharType="begin"/>
    </w:r>
    <w:r>
      <w:rPr>
        <w:rFonts w:ascii="Arial" w:hAnsi="Arial" w:cs="Arial"/>
        <w:lang w:val="es-MX"/>
      </w:rPr>
      <w:instrText xml:space="preserve"> SECTIONPAGES  </w:instrText>
    </w:r>
    <w:r>
      <w:rPr>
        <w:rFonts w:ascii="Arial" w:hAnsi="Arial" w:cs="Arial"/>
        <w:lang w:val="es-MX"/>
      </w:rPr>
      <w:fldChar w:fldCharType="separate"/>
    </w:r>
    <w:r w:rsidR="00A058D6">
      <w:rPr>
        <w:rFonts w:ascii="Arial" w:hAnsi="Arial" w:cs="Arial"/>
        <w:noProof/>
        <w:lang w:val="es-MX"/>
      </w:rPr>
      <w:instrText>6</w:instrText>
    </w:r>
    <w:r>
      <w:rPr>
        <w:rFonts w:ascii="Arial" w:hAnsi="Arial" w:cs="Arial"/>
        <w:noProof/>
        <w:lang w:val="es-MX"/>
      </w:rPr>
      <w:fldChar w:fldCharType="end"/>
    </w:r>
    <w:r>
      <w:rPr>
        <w:rFonts w:ascii="Arial" w:hAnsi="Arial" w:cs="Arial"/>
        <w:lang w:val="es-MX"/>
      </w:rPr>
      <w:instrText xml:space="preserve"> &gt; 1 "</w:instrText>
    </w:r>
    <w:r>
      <w:rPr>
        <w:rFonts w:ascii="Arial" w:hAnsi="Arial" w:cs="Arial"/>
        <w:lang w:val="es-MX"/>
      </w:rPr>
      <w:fldChar w:fldCharType="begin"/>
    </w:r>
    <w:r>
      <w:rPr>
        <w:rFonts w:ascii="Arial" w:hAnsi="Arial" w:cs="Arial"/>
        <w:lang w:val="es-MX"/>
      </w:rPr>
      <w:instrText xml:space="preserve"> PAGE  </w:instrText>
    </w:r>
    <w:r>
      <w:rPr>
        <w:rFonts w:ascii="Arial" w:hAnsi="Arial" w:cs="Arial"/>
        <w:lang w:val="es-MX"/>
      </w:rPr>
      <w:fldChar w:fldCharType="separate"/>
    </w:r>
    <w:r w:rsidR="00A058D6">
      <w:rPr>
        <w:rFonts w:ascii="Arial" w:hAnsi="Arial" w:cs="Arial"/>
        <w:noProof/>
        <w:lang w:val="es-MX"/>
      </w:rPr>
      <w:instrText>6</w:instrText>
    </w:r>
    <w:r>
      <w:rPr>
        <w:rFonts w:ascii="Arial" w:hAnsi="Arial" w:cs="Arial"/>
        <w:lang w:val="es-MX"/>
      </w:rPr>
      <w:fldChar w:fldCharType="end"/>
    </w:r>
    <w:r>
      <w:rPr>
        <w:rFonts w:ascii="Arial" w:hAnsi="Arial" w:cs="Arial"/>
        <w:lang w:val="es-MX"/>
      </w:rPr>
      <w:instrText>/</w:instrText>
    </w:r>
    <w:r>
      <w:rPr>
        <w:rFonts w:ascii="Arial" w:hAnsi="Arial" w:cs="Arial"/>
        <w:lang w:val="es-MX"/>
      </w:rPr>
      <w:fldChar w:fldCharType="begin"/>
    </w:r>
    <w:r>
      <w:rPr>
        <w:rFonts w:ascii="Arial" w:hAnsi="Arial" w:cs="Arial"/>
        <w:lang w:val="es-MX"/>
      </w:rPr>
      <w:instrText xml:space="preserve"> SECTIONPAGES  </w:instrText>
    </w:r>
    <w:r>
      <w:rPr>
        <w:rFonts w:ascii="Arial" w:hAnsi="Arial" w:cs="Arial"/>
        <w:lang w:val="es-MX"/>
      </w:rPr>
      <w:fldChar w:fldCharType="separate"/>
    </w:r>
    <w:r w:rsidR="00A058D6">
      <w:rPr>
        <w:rFonts w:ascii="Arial" w:hAnsi="Arial" w:cs="Arial"/>
        <w:noProof/>
        <w:lang w:val="es-MX"/>
      </w:rPr>
      <w:instrText>6</w:instrText>
    </w:r>
    <w:r>
      <w:rPr>
        <w:rFonts w:ascii="Arial" w:hAnsi="Arial" w:cs="Arial"/>
        <w:noProof/>
        <w:lang w:val="es-MX"/>
      </w:rPr>
      <w:fldChar w:fldCharType="end"/>
    </w:r>
    <w:r>
      <w:rPr>
        <w:rFonts w:ascii="Arial" w:hAnsi="Arial" w:cs="Arial"/>
        <w:lang w:val="es-MX"/>
      </w:rPr>
      <w:instrText xml:space="preserve">" "" </w:instrText>
    </w:r>
    <w:r w:rsidR="00FA2F08">
      <w:rPr>
        <w:rFonts w:ascii="Arial" w:hAnsi="Arial" w:cs="Arial"/>
        <w:lang w:val="es-MX"/>
      </w:rPr>
      <w:fldChar w:fldCharType="separate"/>
    </w:r>
    <w:r w:rsidR="00A058D6">
      <w:rPr>
        <w:rFonts w:ascii="Arial" w:hAnsi="Arial" w:cs="Arial"/>
        <w:noProof/>
        <w:lang w:val="es-MX"/>
      </w:rPr>
      <w:t>6/6</w:t>
    </w:r>
    <w:r>
      <w:rPr>
        <w:rFonts w:ascii="Arial" w:hAnsi="Arial" w:cs="Arial"/>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22B7" w14:textId="77777777" w:rsidR="00623BA4" w:rsidRDefault="00623BA4" w:rsidP="00B81ED6">
      <w:pPr>
        <w:spacing w:after="0" w:line="240" w:lineRule="auto"/>
      </w:pPr>
      <w:r>
        <w:separator/>
      </w:r>
    </w:p>
  </w:footnote>
  <w:footnote w:type="continuationSeparator" w:id="0">
    <w:p w14:paraId="51B47151" w14:textId="77777777" w:rsidR="00623BA4" w:rsidRDefault="00623BA4" w:rsidP="00B81ED6">
      <w:pPr>
        <w:spacing w:after="0" w:line="240" w:lineRule="auto"/>
      </w:pPr>
      <w:r>
        <w:continuationSeparator/>
      </w:r>
    </w:p>
  </w:footnote>
  <w:footnote w:type="continuationNotice" w:id="1">
    <w:p w14:paraId="56A47AEF" w14:textId="77777777" w:rsidR="00623BA4" w:rsidRDefault="00623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rPr>
        <w:lang w:val="es-MX"/>
      </w:rPr>
      <w:tab/>
    </w:r>
    <w:r>
      <w:rPr>
        <w:lang w:val="es-MX"/>
      </w:rPr>
      <w:tab/>
    </w:r>
    <w:r>
      <w:rPr>
        <w:lang w:val="es-MX"/>
      </w:rPr>
      <w:ptab w:relativeTo="margin" w:alignment="right" w:leader="none"/>
    </w:r>
    <w:r>
      <w:rPr>
        <w:noProof/>
        <w:lang w:val="es-MX"/>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s-MX"/>
      </w:rPr>
      <w:tab/>
    </w:r>
    <w:r>
      <w:rPr>
        <w:lang w:val="es-MX"/>
      </w:rP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C9DC726E">
      <w:start w:val="1"/>
      <w:numFmt w:val="decimal"/>
      <w:lvlText w:val="%1."/>
      <w:lvlJc w:val="left"/>
      <w:pPr>
        <w:ind w:left="1020" w:hanging="360"/>
      </w:pPr>
    </w:lvl>
    <w:lvl w:ilvl="1" w:tplc="6DDAA7F0">
      <w:start w:val="1"/>
      <w:numFmt w:val="decimal"/>
      <w:lvlText w:val="%2."/>
      <w:lvlJc w:val="left"/>
      <w:pPr>
        <w:ind w:left="1020" w:hanging="360"/>
      </w:pPr>
    </w:lvl>
    <w:lvl w:ilvl="2" w:tplc="1310BE72">
      <w:start w:val="1"/>
      <w:numFmt w:val="decimal"/>
      <w:lvlText w:val="%3."/>
      <w:lvlJc w:val="left"/>
      <w:pPr>
        <w:ind w:left="1020" w:hanging="360"/>
      </w:pPr>
    </w:lvl>
    <w:lvl w:ilvl="3" w:tplc="9D240A00">
      <w:start w:val="1"/>
      <w:numFmt w:val="decimal"/>
      <w:lvlText w:val="%4."/>
      <w:lvlJc w:val="left"/>
      <w:pPr>
        <w:ind w:left="1020" w:hanging="360"/>
      </w:pPr>
    </w:lvl>
    <w:lvl w:ilvl="4" w:tplc="167274BC">
      <w:start w:val="1"/>
      <w:numFmt w:val="decimal"/>
      <w:lvlText w:val="%5."/>
      <w:lvlJc w:val="left"/>
      <w:pPr>
        <w:ind w:left="1020" w:hanging="360"/>
      </w:pPr>
    </w:lvl>
    <w:lvl w:ilvl="5" w:tplc="D8B41ECE">
      <w:start w:val="1"/>
      <w:numFmt w:val="decimal"/>
      <w:lvlText w:val="%6."/>
      <w:lvlJc w:val="left"/>
      <w:pPr>
        <w:ind w:left="1020" w:hanging="360"/>
      </w:pPr>
    </w:lvl>
    <w:lvl w:ilvl="6" w:tplc="09C2BDD8">
      <w:start w:val="1"/>
      <w:numFmt w:val="decimal"/>
      <w:lvlText w:val="%7."/>
      <w:lvlJc w:val="left"/>
      <w:pPr>
        <w:ind w:left="1020" w:hanging="360"/>
      </w:pPr>
    </w:lvl>
    <w:lvl w:ilvl="7" w:tplc="B58A1F36">
      <w:start w:val="1"/>
      <w:numFmt w:val="decimal"/>
      <w:lvlText w:val="%8."/>
      <w:lvlJc w:val="left"/>
      <w:pPr>
        <w:ind w:left="1020" w:hanging="360"/>
      </w:pPr>
    </w:lvl>
    <w:lvl w:ilvl="8" w:tplc="B5E82992">
      <w:start w:val="1"/>
      <w:numFmt w:val="decimal"/>
      <w:lvlText w:val="%9."/>
      <w:lvlJc w:val="left"/>
      <w:pPr>
        <w:ind w:left="1020" w:hanging="36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705370360">
    <w:abstractNumId w:val="1"/>
  </w:num>
  <w:num w:numId="5" w16cid:durableId="1312519238">
    <w:abstractNumId w:val="2"/>
  </w:num>
  <w:num w:numId="6" w16cid:durableId="39085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4A4"/>
    <w:rsid w:val="00002C92"/>
    <w:rsid w:val="000068D4"/>
    <w:rsid w:val="000070E3"/>
    <w:rsid w:val="000073E4"/>
    <w:rsid w:val="00010A18"/>
    <w:rsid w:val="00021BD5"/>
    <w:rsid w:val="00022A6C"/>
    <w:rsid w:val="00022FCE"/>
    <w:rsid w:val="00025845"/>
    <w:rsid w:val="00026FD8"/>
    <w:rsid w:val="000304B8"/>
    <w:rsid w:val="00030815"/>
    <w:rsid w:val="000326C4"/>
    <w:rsid w:val="00033002"/>
    <w:rsid w:val="0003460D"/>
    <w:rsid w:val="000363D1"/>
    <w:rsid w:val="000426C2"/>
    <w:rsid w:val="00046A95"/>
    <w:rsid w:val="00050518"/>
    <w:rsid w:val="000510A3"/>
    <w:rsid w:val="000516E5"/>
    <w:rsid w:val="00052A71"/>
    <w:rsid w:val="000576F4"/>
    <w:rsid w:val="00063AC5"/>
    <w:rsid w:val="0006437E"/>
    <w:rsid w:val="000657D2"/>
    <w:rsid w:val="00066E54"/>
    <w:rsid w:val="00071137"/>
    <w:rsid w:val="00071E9F"/>
    <w:rsid w:val="00073482"/>
    <w:rsid w:val="00074385"/>
    <w:rsid w:val="000747FB"/>
    <w:rsid w:val="000752A4"/>
    <w:rsid w:val="0007549D"/>
    <w:rsid w:val="00075513"/>
    <w:rsid w:val="0007620A"/>
    <w:rsid w:val="0008033B"/>
    <w:rsid w:val="00080FC7"/>
    <w:rsid w:val="0008132B"/>
    <w:rsid w:val="00081350"/>
    <w:rsid w:val="00084A1D"/>
    <w:rsid w:val="000913EF"/>
    <w:rsid w:val="000923E9"/>
    <w:rsid w:val="00092BB6"/>
    <w:rsid w:val="000A003D"/>
    <w:rsid w:val="000A12C1"/>
    <w:rsid w:val="000A384E"/>
    <w:rsid w:val="000A450A"/>
    <w:rsid w:val="000A4616"/>
    <w:rsid w:val="000A74F0"/>
    <w:rsid w:val="000A7FF0"/>
    <w:rsid w:val="000B151B"/>
    <w:rsid w:val="000B4207"/>
    <w:rsid w:val="000C04F5"/>
    <w:rsid w:val="000C0FCA"/>
    <w:rsid w:val="000C1ED5"/>
    <w:rsid w:val="000C62B4"/>
    <w:rsid w:val="000D54ED"/>
    <w:rsid w:val="000E2769"/>
    <w:rsid w:val="000E3B87"/>
    <w:rsid w:val="000E3C3F"/>
    <w:rsid w:val="000F0095"/>
    <w:rsid w:val="000F0721"/>
    <w:rsid w:val="000F12B9"/>
    <w:rsid w:val="0010609B"/>
    <w:rsid w:val="00106419"/>
    <w:rsid w:val="001065B9"/>
    <w:rsid w:val="00106AC6"/>
    <w:rsid w:val="001113B6"/>
    <w:rsid w:val="001113D4"/>
    <w:rsid w:val="001115E5"/>
    <w:rsid w:val="00112CC3"/>
    <w:rsid w:val="00114E4B"/>
    <w:rsid w:val="00117E38"/>
    <w:rsid w:val="00121BAA"/>
    <w:rsid w:val="00122CAF"/>
    <w:rsid w:val="00123495"/>
    <w:rsid w:val="0012489D"/>
    <w:rsid w:val="00125AB1"/>
    <w:rsid w:val="0012683C"/>
    <w:rsid w:val="00126C84"/>
    <w:rsid w:val="00140456"/>
    <w:rsid w:val="0014067F"/>
    <w:rsid w:val="00141176"/>
    <w:rsid w:val="001419B4"/>
    <w:rsid w:val="00145DB7"/>
    <w:rsid w:val="0015043B"/>
    <w:rsid w:val="00150730"/>
    <w:rsid w:val="001512D8"/>
    <w:rsid w:val="00151E19"/>
    <w:rsid w:val="00152C8C"/>
    <w:rsid w:val="001537BB"/>
    <w:rsid w:val="00160330"/>
    <w:rsid w:val="00161D6E"/>
    <w:rsid w:val="00171995"/>
    <w:rsid w:val="00171FB9"/>
    <w:rsid w:val="00172F3E"/>
    <w:rsid w:val="00185A46"/>
    <w:rsid w:val="00191566"/>
    <w:rsid w:val="00193B6B"/>
    <w:rsid w:val="00194F8B"/>
    <w:rsid w:val="0019571D"/>
    <w:rsid w:val="00195E62"/>
    <w:rsid w:val="0019716D"/>
    <w:rsid w:val="001A10B1"/>
    <w:rsid w:val="001A1AD7"/>
    <w:rsid w:val="001A43EF"/>
    <w:rsid w:val="001A47A6"/>
    <w:rsid w:val="001A59F7"/>
    <w:rsid w:val="001A7A51"/>
    <w:rsid w:val="001B55B3"/>
    <w:rsid w:val="001B677D"/>
    <w:rsid w:val="001B7308"/>
    <w:rsid w:val="001C2A22"/>
    <w:rsid w:val="001C336B"/>
    <w:rsid w:val="001C4A94"/>
    <w:rsid w:val="001D3ECB"/>
    <w:rsid w:val="001D4029"/>
    <w:rsid w:val="001E09FD"/>
    <w:rsid w:val="001E4E9D"/>
    <w:rsid w:val="001E640A"/>
    <w:rsid w:val="001E6C39"/>
    <w:rsid w:val="001E7D61"/>
    <w:rsid w:val="001F0F0B"/>
    <w:rsid w:val="001F13AD"/>
    <w:rsid w:val="001F303B"/>
    <w:rsid w:val="001F7A66"/>
    <w:rsid w:val="002017C4"/>
    <w:rsid w:val="00201C10"/>
    <w:rsid w:val="00205005"/>
    <w:rsid w:val="00206010"/>
    <w:rsid w:val="00211C2C"/>
    <w:rsid w:val="0021406B"/>
    <w:rsid w:val="002146E5"/>
    <w:rsid w:val="002152D0"/>
    <w:rsid w:val="0022107A"/>
    <w:rsid w:val="00223275"/>
    <w:rsid w:val="00223831"/>
    <w:rsid w:val="00225FE9"/>
    <w:rsid w:val="00226250"/>
    <w:rsid w:val="00226DB9"/>
    <w:rsid w:val="00232BF6"/>
    <w:rsid w:val="00235D45"/>
    <w:rsid w:val="0023751D"/>
    <w:rsid w:val="00237D82"/>
    <w:rsid w:val="002424CA"/>
    <w:rsid w:val="00245BBB"/>
    <w:rsid w:val="00245C83"/>
    <w:rsid w:val="0025153D"/>
    <w:rsid w:val="002547BA"/>
    <w:rsid w:val="00255007"/>
    <w:rsid w:val="00256FFF"/>
    <w:rsid w:val="00260C39"/>
    <w:rsid w:val="002614F5"/>
    <w:rsid w:val="00272898"/>
    <w:rsid w:val="00273070"/>
    <w:rsid w:val="002749C9"/>
    <w:rsid w:val="00275851"/>
    <w:rsid w:val="00275A97"/>
    <w:rsid w:val="00277098"/>
    <w:rsid w:val="0027740A"/>
    <w:rsid w:val="00280A48"/>
    <w:rsid w:val="00283074"/>
    <w:rsid w:val="002831A3"/>
    <w:rsid w:val="00284129"/>
    <w:rsid w:val="0029096C"/>
    <w:rsid w:val="00291601"/>
    <w:rsid w:val="0029308E"/>
    <w:rsid w:val="002938AD"/>
    <w:rsid w:val="00296F4E"/>
    <w:rsid w:val="0029711C"/>
    <w:rsid w:val="00297966"/>
    <w:rsid w:val="002A0B0D"/>
    <w:rsid w:val="002A31D2"/>
    <w:rsid w:val="002A6438"/>
    <w:rsid w:val="002A7C70"/>
    <w:rsid w:val="002B104E"/>
    <w:rsid w:val="002B36F4"/>
    <w:rsid w:val="002B475D"/>
    <w:rsid w:val="002B55F0"/>
    <w:rsid w:val="002B72A7"/>
    <w:rsid w:val="002C3350"/>
    <w:rsid w:val="002D03F1"/>
    <w:rsid w:val="002D1723"/>
    <w:rsid w:val="002D70FB"/>
    <w:rsid w:val="002E0798"/>
    <w:rsid w:val="00304877"/>
    <w:rsid w:val="00306744"/>
    <w:rsid w:val="0030739B"/>
    <w:rsid w:val="00307533"/>
    <w:rsid w:val="00312299"/>
    <w:rsid w:val="00316FCC"/>
    <w:rsid w:val="003220FA"/>
    <w:rsid w:val="003226ED"/>
    <w:rsid w:val="00324BA1"/>
    <w:rsid w:val="00327624"/>
    <w:rsid w:val="00332F8E"/>
    <w:rsid w:val="00333155"/>
    <w:rsid w:val="00334134"/>
    <w:rsid w:val="00334859"/>
    <w:rsid w:val="00336030"/>
    <w:rsid w:val="00343FC6"/>
    <w:rsid w:val="003475C9"/>
    <w:rsid w:val="0035134D"/>
    <w:rsid w:val="003524D2"/>
    <w:rsid w:val="003536F8"/>
    <w:rsid w:val="00354CE0"/>
    <w:rsid w:val="00356575"/>
    <w:rsid w:val="00362BDF"/>
    <w:rsid w:val="00363A59"/>
    <w:rsid w:val="00366C91"/>
    <w:rsid w:val="00367F64"/>
    <w:rsid w:val="00375005"/>
    <w:rsid w:val="00386A1C"/>
    <w:rsid w:val="003873B6"/>
    <w:rsid w:val="003906BF"/>
    <w:rsid w:val="003934E1"/>
    <w:rsid w:val="003936A6"/>
    <w:rsid w:val="003A02D0"/>
    <w:rsid w:val="003A1275"/>
    <w:rsid w:val="003A4D86"/>
    <w:rsid w:val="003A4E60"/>
    <w:rsid w:val="003A5E10"/>
    <w:rsid w:val="003B019A"/>
    <w:rsid w:val="003B1A08"/>
    <w:rsid w:val="003B6415"/>
    <w:rsid w:val="003C1673"/>
    <w:rsid w:val="003D0694"/>
    <w:rsid w:val="003D37B1"/>
    <w:rsid w:val="003D41B1"/>
    <w:rsid w:val="003D4E37"/>
    <w:rsid w:val="003D5988"/>
    <w:rsid w:val="003D6139"/>
    <w:rsid w:val="003D6701"/>
    <w:rsid w:val="003E3CB4"/>
    <w:rsid w:val="003E5383"/>
    <w:rsid w:val="003E572F"/>
    <w:rsid w:val="003E69B2"/>
    <w:rsid w:val="003F25E8"/>
    <w:rsid w:val="003F36A6"/>
    <w:rsid w:val="003F667C"/>
    <w:rsid w:val="0041231E"/>
    <w:rsid w:val="00412DBC"/>
    <w:rsid w:val="004134BB"/>
    <w:rsid w:val="00414129"/>
    <w:rsid w:val="00415A85"/>
    <w:rsid w:val="00415E0B"/>
    <w:rsid w:val="00416F1E"/>
    <w:rsid w:val="0041747C"/>
    <w:rsid w:val="00423773"/>
    <w:rsid w:val="00424D15"/>
    <w:rsid w:val="00426FBC"/>
    <w:rsid w:val="004302F9"/>
    <w:rsid w:val="00430462"/>
    <w:rsid w:val="00433894"/>
    <w:rsid w:val="00445EA9"/>
    <w:rsid w:val="00446F12"/>
    <w:rsid w:val="004471D9"/>
    <w:rsid w:val="00450658"/>
    <w:rsid w:val="004536E6"/>
    <w:rsid w:val="00456302"/>
    <w:rsid w:val="0045694B"/>
    <w:rsid w:val="00456F5C"/>
    <w:rsid w:val="004600BE"/>
    <w:rsid w:val="00460D32"/>
    <w:rsid w:val="0046215B"/>
    <w:rsid w:val="00472D2D"/>
    <w:rsid w:val="00473302"/>
    <w:rsid w:val="00480DB4"/>
    <w:rsid w:val="00480FBF"/>
    <w:rsid w:val="00482800"/>
    <w:rsid w:val="00483AC1"/>
    <w:rsid w:val="0048413C"/>
    <w:rsid w:val="004875A3"/>
    <w:rsid w:val="00490576"/>
    <w:rsid w:val="00494428"/>
    <w:rsid w:val="00497A5D"/>
    <w:rsid w:val="004A0A81"/>
    <w:rsid w:val="004A7912"/>
    <w:rsid w:val="004B16D8"/>
    <w:rsid w:val="004B411A"/>
    <w:rsid w:val="004B4808"/>
    <w:rsid w:val="004B549E"/>
    <w:rsid w:val="004B6417"/>
    <w:rsid w:val="004B6F04"/>
    <w:rsid w:val="004B74ED"/>
    <w:rsid w:val="004C068E"/>
    <w:rsid w:val="004C0A29"/>
    <w:rsid w:val="004C2226"/>
    <w:rsid w:val="004C669D"/>
    <w:rsid w:val="004C6C74"/>
    <w:rsid w:val="004C70AE"/>
    <w:rsid w:val="004D2290"/>
    <w:rsid w:val="004D29C1"/>
    <w:rsid w:val="004D3D10"/>
    <w:rsid w:val="004E0E46"/>
    <w:rsid w:val="004E1B2C"/>
    <w:rsid w:val="004E5B76"/>
    <w:rsid w:val="004E66C6"/>
    <w:rsid w:val="004E717A"/>
    <w:rsid w:val="004F0356"/>
    <w:rsid w:val="004F1E85"/>
    <w:rsid w:val="004F2D30"/>
    <w:rsid w:val="004F2E56"/>
    <w:rsid w:val="004F4818"/>
    <w:rsid w:val="004F4B5C"/>
    <w:rsid w:val="004F5555"/>
    <w:rsid w:val="004F56CF"/>
    <w:rsid w:val="00500C20"/>
    <w:rsid w:val="00500C47"/>
    <w:rsid w:val="00502530"/>
    <w:rsid w:val="00505E1D"/>
    <w:rsid w:val="005061CF"/>
    <w:rsid w:val="00514EEB"/>
    <w:rsid w:val="00521F1E"/>
    <w:rsid w:val="0053390D"/>
    <w:rsid w:val="0053415E"/>
    <w:rsid w:val="005345D5"/>
    <w:rsid w:val="00534FC7"/>
    <w:rsid w:val="00535C14"/>
    <w:rsid w:val="005401CC"/>
    <w:rsid w:val="00542A7F"/>
    <w:rsid w:val="00545363"/>
    <w:rsid w:val="0055091B"/>
    <w:rsid w:val="00550DB5"/>
    <w:rsid w:val="00552EA3"/>
    <w:rsid w:val="00554C46"/>
    <w:rsid w:val="00556698"/>
    <w:rsid w:val="00557D26"/>
    <w:rsid w:val="00557DBC"/>
    <w:rsid w:val="00562890"/>
    <w:rsid w:val="0056500F"/>
    <w:rsid w:val="005652B5"/>
    <w:rsid w:val="005660EA"/>
    <w:rsid w:val="0056799C"/>
    <w:rsid w:val="005729F4"/>
    <w:rsid w:val="00581F24"/>
    <w:rsid w:val="00582DA3"/>
    <w:rsid w:val="00583BB1"/>
    <w:rsid w:val="00585D87"/>
    <w:rsid w:val="0059290D"/>
    <w:rsid w:val="00594AD3"/>
    <w:rsid w:val="00595901"/>
    <w:rsid w:val="00596B20"/>
    <w:rsid w:val="005A09A6"/>
    <w:rsid w:val="005A7502"/>
    <w:rsid w:val="005B37BC"/>
    <w:rsid w:val="005B60F1"/>
    <w:rsid w:val="005B6E53"/>
    <w:rsid w:val="005C3BDB"/>
    <w:rsid w:val="005D3B2F"/>
    <w:rsid w:val="005D7163"/>
    <w:rsid w:val="005E10DA"/>
    <w:rsid w:val="005E2650"/>
    <w:rsid w:val="005E570F"/>
    <w:rsid w:val="005E58B2"/>
    <w:rsid w:val="005F1BB7"/>
    <w:rsid w:val="005F3201"/>
    <w:rsid w:val="005F3A71"/>
    <w:rsid w:val="005F510D"/>
    <w:rsid w:val="0060281A"/>
    <w:rsid w:val="00602C42"/>
    <w:rsid w:val="00604D63"/>
    <w:rsid w:val="006107AA"/>
    <w:rsid w:val="006109C4"/>
    <w:rsid w:val="00610CA2"/>
    <w:rsid w:val="00611BE6"/>
    <w:rsid w:val="00612031"/>
    <w:rsid w:val="0061566B"/>
    <w:rsid w:val="00615972"/>
    <w:rsid w:val="00622256"/>
    <w:rsid w:val="00623BA4"/>
    <w:rsid w:val="00624611"/>
    <w:rsid w:val="00624D9A"/>
    <w:rsid w:val="006264C3"/>
    <w:rsid w:val="0062770D"/>
    <w:rsid w:val="0063356B"/>
    <w:rsid w:val="006347B8"/>
    <w:rsid w:val="00643226"/>
    <w:rsid w:val="00645740"/>
    <w:rsid w:val="00645EF5"/>
    <w:rsid w:val="00652E53"/>
    <w:rsid w:val="006531BA"/>
    <w:rsid w:val="006561D3"/>
    <w:rsid w:val="00656607"/>
    <w:rsid w:val="00660DA7"/>
    <w:rsid w:val="0066266F"/>
    <w:rsid w:val="00662DC3"/>
    <w:rsid w:val="00667859"/>
    <w:rsid w:val="006731C3"/>
    <w:rsid w:val="00677EF7"/>
    <w:rsid w:val="00687BFA"/>
    <w:rsid w:val="0069179D"/>
    <w:rsid w:val="00692553"/>
    <w:rsid w:val="00692EC1"/>
    <w:rsid w:val="006953E6"/>
    <w:rsid w:val="00695601"/>
    <w:rsid w:val="00696782"/>
    <w:rsid w:val="006A29AF"/>
    <w:rsid w:val="006A3C7E"/>
    <w:rsid w:val="006B3967"/>
    <w:rsid w:val="006B7134"/>
    <w:rsid w:val="006C008B"/>
    <w:rsid w:val="006C0989"/>
    <w:rsid w:val="006C3209"/>
    <w:rsid w:val="006C44D3"/>
    <w:rsid w:val="006D325F"/>
    <w:rsid w:val="006D3735"/>
    <w:rsid w:val="006D5B31"/>
    <w:rsid w:val="006E0476"/>
    <w:rsid w:val="006E05BD"/>
    <w:rsid w:val="006E3459"/>
    <w:rsid w:val="006F0097"/>
    <w:rsid w:val="006F304F"/>
    <w:rsid w:val="006F3D19"/>
    <w:rsid w:val="0070245A"/>
    <w:rsid w:val="00702932"/>
    <w:rsid w:val="0070358F"/>
    <w:rsid w:val="007048AE"/>
    <w:rsid w:val="00707358"/>
    <w:rsid w:val="00707B29"/>
    <w:rsid w:val="00713D50"/>
    <w:rsid w:val="007153E1"/>
    <w:rsid w:val="00715CA7"/>
    <w:rsid w:val="00715E18"/>
    <w:rsid w:val="00720D3C"/>
    <w:rsid w:val="007217DE"/>
    <w:rsid w:val="007237EE"/>
    <w:rsid w:val="007241BF"/>
    <w:rsid w:val="007266B8"/>
    <w:rsid w:val="00733377"/>
    <w:rsid w:val="00742CE9"/>
    <w:rsid w:val="007454A0"/>
    <w:rsid w:val="00746271"/>
    <w:rsid w:val="00747169"/>
    <w:rsid w:val="007526A0"/>
    <w:rsid w:val="00757C71"/>
    <w:rsid w:val="00761197"/>
    <w:rsid w:val="007703D2"/>
    <w:rsid w:val="00771631"/>
    <w:rsid w:val="00772499"/>
    <w:rsid w:val="00773F67"/>
    <w:rsid w:val="007743AB"/>
    <w:rsid w:val="00774441"/>
    <w:rsid w:val="00775C52"/>
    <w:rsid w:val="00784474"/>
    <w:rsid w:val="0078682E"/>
    <w:rsid w:val="007906DA"/>
    <w:rsid w:val="00792201"/>
    <w:rsid w:val="00794A7E"/>
    <w:rsid w:val="007967C3"/>
    <w:rsid w:val="007A343B"/>
    <w:rsid w:val="007A5D11"/>
    <w:rsid w:val="007B1975"/>
    <w:rsid w:val="007B6C22"/>
    <w:rsid w:val="007B6F12"/>
    <w:rsid w:val="007C0436"/>
    <w:rsid w:val="007C0A1F"/>
    <w:rsid w:val="007C1A61"/>
    <w:rsid w:val="007C2CDE"/>
    <w:rsid w:val="007C2DD9"/>
    <w:rsid w:val="007C6559"/>
    <w:rsid w:val="007E499E"/>
    <w:rsid w:val="007F0744"/>
    <w:rsid w:val="007F1251"/>
    <w:rsid w:val="007F2491"/>
    <w:rsid w:val="007F2586"/>
    <w:rsid w:val="007F2905"/>
    <w:rsid w:val="007F40AD"/>
    <w:rsid w:val="00803B37"/>
    <w:rsid w:val="00807C72"/>
    <w:rsid w:val="0081039F"/>
    <w:rsid w:val="00821910"/>
    <w:rsid w:val="00824226"/>
    <w:rsid w:val="00831E94"/>
    <w:rsid w:val="008326EA"/>
    <w:rsid w:val="00833040"/>
    <w:rsid w:val="00833740"/>
    <w:rsid w:val="00836097"/>
    <w:rsid w:val="00847BBC"/>
    <w:rsid w:val="0085692C"/>
    <w:rsid w:val="008609EF"/>
    <w:rsid w:val="00862E23"/>
    <w:rsid w:val="008634A4"/>
    <w:rsid w:val="008659A7"/>
    <w:rsid w:val="00866E55"/>
    <w:rsid w:val="008672A7"/>
    <w:rsid w:val="00870724"/>
    <w:rsid w:val="00873339"/>
    <w:rsid w:val="00876A61"/>
    <w:rsid w:val="00877D49"/>
    <w:rsid w:val="008828C8"/>
    <w:rsid w:val="00883508"/>
    <w:rsid w:val="00890505"/>
    <w:rsid w:val="00895711"/>
    <w:rsid w:val="00897250"/>
    <w:rsid w:val="008973AE"/>
    <w:rsid w:val="008A0EB7"/>
    <w:rsid w:val="008A1629"/>
    <w:rsid w:val="008A1DAB"/>
    <w:rsid w:val="008A20AD"/>
    <w:rsid w:val="008A3695"/>
    <w:rsid w:val="008A6AB3"/>
    <w:rsid w:val="008B1A18"/>
    <w:rsid w:val="008B47A7"/>
    <w:rsid w:val="008C0CCA"/>
    <w:rsid w:val="008C7871"/>
    <w:rsid w:val="008D0F30"/>
    <w:rsid w:val="008E64BB"/>
    <w:rsid w:val="008E68C8"/>
    <w:rsid w:val="008F0F17"/>
    <w:rsid w:val="008F4245"/>
    <w:rsid w:val="008F4BFB"/>
    <w:rsid w:val="00901871"/>
    <w:rsid w:val="00902EE9"/>
    <w:rsid w:val="00905355"/>
    <w:rsid w:val="009103A8"/>
    <w:rsid w:val="00914246"/>
    <w:rsid w:val="00916935"/>
    <w:rsid w:val="009169F9"/>
    <w:rsid w:val="00916E8B"/>
    <w:rsid w:val="00921CE7"/>
    <w:rsid w:val="00923294"/>
    <w:rsid w:val="009238D0"/>
    <w:rsid w:val="00926B0D"/>
    <w:rsid w:val="0093262B"/>
    <w:rsid w:val="0093605C"/>
    <w:rsid w:val="0093651D"/>
    <w:rsid w:val="009371BF"/>
    <w:rsid w:val="00937F6D"/>
    <w:rsid w:val="00943E3F"/>
    <w:rsid w:val="00950033"/>
    <w:rsid w:val="0095317B"/>
    <w:rsid w:val="00953DEB"/>
    <w:rsid w:val="00960924"/>
    <w:rsid w:val="00964EB1"/>
    <w:rsid w:val="00965077"/>
    <w:rsid w:val="00965C41"/>
    <w:rsid w:val="00966074"/>
    <w:rsid w:val="00971817"/>
    <w:rsid w:val="00973591"/>
    <w:rsid w:val="009751FF"/>
    <w:rsid w:val="00976DF4"/>
    <w:rsid w:val="00983CE1"/>
    <w:rsid w:val="00987402"/>
    <w:rsid w:val="00990276"/>
    <w:rsid w:val="00992DAF"/>
    <w:rsid w:val="009A03D8"/>
    <w:rsid w:val="009A2DD6"/>
    <w:rsid w:val="009A30D2"/>
    <w:rsid w:val="009A3D17"/>
    <w:rsid w:val="009A405C"/>
    <w:rsid w:val="009B165A"/>
    <w:rsid w:val="009B4DDD"/>
    <w:rsid w:val="009B609D"/>
    <w:rsid w:val="009C21C0"/>
    <w:rsid w:val="009C24D9"/>
    <w:rsid w:val="009C467C"/>
    <w:rsid w:val="009C49CA"/>
    <w:rsid w:val="009C510F"/>
    <w:rsid w:val="009C732D"/>
    <w:rsid w:val="009D1EAD"/>
    <w:rsid w:val="009D2DEE"/>
    <w:rsid w:val="009E1C3A"/>
    <w:rsid w:val="009E2324"/>
    <w:rsid w:val="009E250D"/>
    <w:rsid w:val="009E3F62"/>
    <w:rsid w:val="009E5D2A"/>
    <w:rsid w:val="009E6056"/>
    <w:rsid w:val="009E66B1"/>
    <w:rsid w:val="009E693C"/>
    <w:rsid w:val="009F4AF4"/>
    <w:rsid w:val="00A0070D"/>
    <w:rsid w:val="00A02632"/>
    <w:rsid w:val="00A058D6"/>
    <w:rsid w:val="00A10958"/>
    <w:rsid w:val="00A133AB"/>
    <w:rsid w:val="00A21C40"/>
    <w:rsid w:val="00A233C0"/>
    <w:rsid w:val="00A247AB"/>
    <w:rsid w:val="00A250A8"/>
    <w:rsid w:val="00A25331"/>
    <w:rsid w:val="00A25A81"/>
    <w:rsid w:val="00A261BF"/>
    <w:rsid w:val="00A2652C"/>
    <w:rsid w:val="00A26894"/>
    <w:rsid w:val="00A26F73"/>
    <w:rsid w:val="00A4022D"/>
    <w:rsid w:val="00A40547"/>
    <w:rsid w:val="00A4468D"/>
    <w:rsid w:val="00A522D6"/>
    <w:rsid w:val="00A5551D"/>
    <w:rsid w:val="00A56B5E"/>
    <w:rsid w:val="00A613E8"/>
    <w:rsid w:val="00A64F93"/>
    <w:rsid w:val="00A66484"/>
    <w:rsid w:val="00A67B1E"/>
    <w:rsid w:val="00A70485"/>
    <w:rsid w:val="00A72AB2"/>
    <w:rsid w:val="00A736F0"/>
    <w:rsid w:val="00A75FBB"/>
    <w:rsid w:val="00A76666"/>
    <w:rsid w:val="00A8280C"/>
    <w:rsid w:val="00A83135"/>
    <w:rsid w:val="00A852C3"/>
    <w:rsid w:val="00A97A9F"/>
    <w:rsid w:val="00A97C72"/>
    <w:rsid w:val="00AA63AE"/>
    <w:rsid w:val="00AA7D62"/>
    <w:rsid w:val="00AB0981"/>
    <w:rsid w:val="00AB15F5"/>
    <w:rsid w:val="00AB3FAB"/>
    <w:rsid w:val="00AC2129"/>
    <w:rsid w:val="00AC3325"/>
    <w:rsid w:val="00AC3710"/>
    <w:rsid w:val="00AC3868"/>
    <w:rsid w:val="00AE0163"/>
    <w:rsid w:val="00AE1244"/>
    <w:rsid w:val="00AE13A6"/>
    <w:rsid w:val="00AE4628"/>
    <w:rsid w:val="00AF012F"/>
    <w:rsid w:val="00AF1F99"/>
    <w:rsid w:val="00AF7DD5"/>
    <w:rsid w:val="00B0009C"/>
    <w:rsid w:val="00B0389F"/>
    <w:rsid w:val="00B052FD"/>
    <w:rsid w:val="00B059DA"/>
    <w:rsid w:val="00B11A3B"/>
    <w:rsid w:val="00B12640"/>
    <w:rsid w:val="00B175D3"/>
    <w:rsid w:val="00B21B60"/>
    <w:rsid w:val="00B242F7"/>
    <w:rsid w:val="00B25570"/>
    <w:rsid w:val="00B30A0C"/>
    <w:rsid w:val="00B31839"/>
    <w:rsid w:val="00B3465B"/>
    <w:rsid w:val="00B36682"/>
    <w:rsid w:val="00B40D76"/>
    <w:rsid w:val="00B44EAF"/>
    <w:rsid w:val="00B453D8"/>
    <w:rsid w:val="00B47C53"/>
    <w:rsid w:val="00B51A32"/>
    <w:rsid w:val="00B61B17"/>
    <w:rsid w:val="00B631D2"/>
    <w:rsid w:val="00B6478D"/>
    <w:rsid w:val="00B676B3"/>
    <w:rsid w:val="00B707E2"/>
    <w:rsid w:val="00B73080"/>
    <w:rsid w:val="00B73723"/>
    <w:rsid w:val="00B73F3F"/>
    <w:rsid w:val="00B80F51"/>
    <w:rsid w:val="00B81ED6"/>
    <w:rsid w:val="00B8234B"/>
    <w:rsid w:val="00B824D3"/>
    <w:rsid w:val="00B83E12"/>
    <w:rsid w:val="00B866F7"/>
    <w:rsid w:val="00B92869"/>
    <w:rsid w:val="00B92AA1"/>
    <w:rsid w:val="00B96A46"/>
    <w:rsid w:val="00B975A5"/>
    <w:rsid w:val="00BA0B81"/>
    <w:rsid w:val="00BA10E2"/>
    <w:rsid w:val="00BA70C7"/>
    <w:rsid w:val="00BB0BFF"/>
    <w:rsid w:val="00BB57A2"/>
    <w:rsid w:val="00BC03C6"/>
    <w:rsid w:val="00BC7C43"/>
    <w:rsid w:val="00BC7CCF"/>
    <w:rsid w:val="00BD59D3"/>
    <w:rsid w:val="00BD7045"/>
    <w:rsid w:val="00BE2FD3"/>
    <w:rsid w:val="00BE7CD0"/>
    <w:rsid w:val="00C0277F"/>
    <w:rsid w:val="00C03607"/>
    <w:rsid w:val="00C04548"/>
    <w:rsid w:val="00C046DD"/>
    <w:rsid w:val="00C05168"/>
    <w:rsid w:val="00C070AC"/>
    <w:rsid w:val="00C12353"/>
    <w:rsid w:val="00C14906"/>
    <w:rsid w:val="00C167D6"/>
    <w:rsid w:val="00C1730A"/>
    <w:rsid w:val="00C20D98"/>
    <w:rsid w:val="00C24626"/>
    <w:rsid w:val="00C2477C"/>
    <w:rsid w:val="00C34643"/>
    <w:rsid w:val="00C40A84"/>
    <w:rsid w:val="00C411E5"/>
    <w:rsid w:val="00C41CDB"/>
    <w:rsid w:val="00C44FC2"/>
    <w:rsid w:val="00C45A98"/>
    <w:rsid w:val="00C464EC"/>
    <w:rsid w:val="00C4704A"/>
    <w:rsid w:val="00C47266"/>
    <w:rsid w:val="00C54708"/>
    <w:rsid w:val="00C60855"/>
    <w:rsid w:val="00C61817"/>
    <w:rsid w:val="00C6221C"/>
    <w:rsid w:val="00C65BC0"/>
    <w:rsid w:val="00C66538"/>
    <w:rsid w:val="00C701E0"/>
    <w:rsid w:val="00C72238"/>
    <w:rsid w:val="00C74690"/>
    <w:rsid w:val="00C74F13"/>
    <w:rsid w:val="00C76E63"/>
    <w:rsid w:val="00C76F08"/>
    <w:rsid w:val="00C77574"/>
    <w:rsid w:val="00C77C23"/>
    <w:rsid w:val="00C823D6"/>
    <w:rsid w:val="00C833F4"/>
    <w:rsid w:val="00C83994"/>
    <w:rsid w:val="00C850E7"/>
    <w:rsid w:val="00C8512D"/>
    <w:rsid w:val="00C90330"/>
    <w:rsid w:val="00C92746"/>
    <w:rsid w:val="00C931AB"/>
    <w:rsid w:val="00C93B16"/>
    <w:rsid w:val="00C93DBB"/>
    <w:rsid w:val="00C94FB9"/>
    <w:rsid w:val="00CA31DF"/>
    <w:rsid w:val="00CA4A8E"/>
    <w:rsid w:val="00CA5448"/>
    <w:rsid w:val="00CA7297"/>
    <w:rsid w:val="00CB1AF1"/>
    <w:rsid w:val="00CB5FBE"/>
    <w:rsid w:val="00CC1FDC"/>
    <w:rsid w:val="00CC3101"/>
    <w:rsid w:val="00CC38B9"/>
    <w:rsid w:val="00CC43E8"/>
    <w:rsid w:val="00CC48DF"/>
    <w:rsid w:val="00CC4F9B"/>
    <w:rsid w:val="00CC5D5A"/>
    <w:rsid w:val="00CC7C44"/>
    <w:rsid w:val="00CE2175"/>
    <w:rsid w:val="00CE3DC7"/>
    <w:rsid w:val="00CE5402"/>
    <w:rsid w:val="00CE65C8"/>
    <w:rsid w:val="00CE7380"/>
    <w:rsid w:val="00CE7685"/>
    <w:rsid w:val="00CF079E"/>
    <w:rsid w:val="00CF1A4B"/>
    <w:rsid w:val="00CF3321"/>
    <w:rsid w:val="00CF3D50"/>
    <w:rsid w:val="00CF4903"/>
    <w:rsid w:val="00CF61FA"/>
    <w:rsid w:val="00CF7556"/>
    <w:rsid w:val="00D009EF"/>
    <w:rsid w:val="00D00CB4"/>
    <w:rsid w:val="00D00FCC"/>
    <w:rsid w:val="00D02DC9"/>
    <w:rsid w:val="00D06A6E"/>
    <w:rsid w:val="00D1130D"/>
    <w:rsid w:val="00D126BF"/>
    <w:rsid w:val="00D24902"/>
    <w:rsid w:val="00D25EEC"/>
    <w:rsid w:val="00D27CBC"/>
    <w:rsid w:val="00D30700"/>
    <w:rsid w:val="00D30F0C"/>
    <w:rsid w:val="00D30F5B"/>
    <w:rsid w:val="00D33511"/>
    <w:rsid w:val="00D37D3F"/>
    <w:rsid w:val="00D41824"/>
    <w:rsid w:val="00D45802"/>
    <w:rsid w:val="00D465F9"/>
    <w:rsid w:val="00D51474"/>
    <w:rsid w:val="00D516FC"/>
    <w:rsid w:val="00D51E74"/>
    <w:rsid w:val="00D54158"/>
    <w:rsid w:val="00D545EF"/>
    <w:rsid w:val="00D5501F"/>
    <w:rsid w:val="00D61012"/>
    <w:rsid w:val="00D617BA"/>
    <w:rsid w:val="00D6350C"/>
    <w:rsid w:val="00D63B50"/>
    <w:rsid w:val="00D84C36"/>
    <w:rsid w:val="00D85054"/>
    <w:rsid w:val="00D87065"/>
    <w:rsid w:val="00D93B76"/>
    <w:rsid w:val="00D94A4B"/>
    <w:rsid w:val="00D952C6"/>
    <w:rsid w:val="00DA29D0"/>
    <w:rsid w:val="00DA6300"/>
    <w:rsid w:val="00DB02CE"/>
    <w:rsid w:val="00DB3D86"/>
    <w:rsid w:val="00DB5E17"/>
    <w:rsid w:val="00DB6277"/>
    <w:rsid w:val="00DB738C"/>
    <w:rsid w:val="00DC14A6"/>
    <w:rsid w:val="00DC5AC4"/>
    <w:rsid w:val="00DC6F56"/>
    <w:rsid w:val="00DC7584"/>
    <w:rsid w:val="00DD20FB"/>
    <w:rsid w:val="00DD3F83"/>
    <w:rsid w:val="00DE0302"/>
    <w:rsid w:val="00DE04A8"/>
    <w:rsid w:val="00DE1218"/>
    <w:rsid w:val="00DE3C24"/>
    <w:rsid w:val="00DE4EF1"/>
    <w:rsid w:val="00DE526A"/>
    <w:rsid w:val="00DE5792"/>
    <w:rsid w:val="00DE610A"/>
    <w:rsid w:val="00DF4026"/>
    <w:rsid w:val="00DF40C0"/>
    <w:rsid w:val="00DF5641"/>
    <w:rsid w:val="00E00046"/>
    <w:rsid w:val="00E05026"/>
    <w:rsid w:val="00E07AE3"/>
    <w:rsid w:val="00E07BB1"/>
    <w:rsid w:val="00E12A44"/>
    <w:rsid w:val="00E14938"/>
    <w:rsid w:val="00E14E25"/>
    <w:rsid w:val="00E16366"/>
    <w:rsid w:val="00E17B3F"/>
    <w:rsid w:val="00E23215"/>
    <w:rsid w:val="00E260E6"/>
    <w:rsid w:val="00E30889"/>
    <w:rsid w:val="00E31CEB"/>
    <w:rsid w:val="00E32363"/>
    <w:rsid w:val="00E346C9"/>
    <w:rsid w:val="00E4094E"/>
    <w:rsid w:val="00E4516A"/>
    <w:rsid w:val="00E5170E"/>
    <w:rsid w:val="00E60987"/>
    <w:rsid w:val="00E62635"/>
    <w:rsid w:val="00E63F1E"/>
    <w:rsid w:val="00E6654D"/>
    <w:rsid w:val="00E702A3"/>
    <w:rsid w:val="00E715EE"/>
    <w:rsid w:val="00E719D9"/>
    <w:rsid w:val="00E71A03"/>
    <w:rsid w:val="00E75429"/>
    <w:rsid w:val="00E75658"/>
    <w:rsid w:val="00E82EFE"/>
    <w:rsid w:val="00E847CC"/>
    <w:rsid w:val="00E85028"/>
    <w:rsid w:val="00E86A38"/>
    <w:rsid w:val="00E86BC0"/>
    <w:rsid w:val="00E874A0"/>
    <w:rsid w:val="00E92250"/>
    <w:rsid w:val="00E93DF6"/>
    <w:rsid w:val="00E94528"/>
    <w:rsid w:val="00E9524B"/>
    <w:rsid w:val="00EA1EAE"/>
    <w:rsid w:val="00EA26F3"/>
    <w:rsid w:val="00EA4F0E"/>
    <w:rsid w:val="00EB71A5"/>
    <w:rsid w:val="00EC2948"/>
    <w:rsid w:val="00EC6E8C"/>
    <w:rsid w:val="00ED0085"/>
    <w:rsid w:val="00ED60A7"/>
    <w:rsid w:val="00EE1346"/>
    <w:rsid w:val="00EE1733"/>
    <w:rsid w:val="00EE1C1A"/>
    <w:rsid w:val="00EE1FC5"/>
    <w:rsid w:val="00EE3DD9"/>
    <w:rsid w:val="00EE53CE"/>
    <w:rsid w:val="00EE71A7"/>
    <w:rsid w:val="00EF616C"/>
    <w:rsid w:val="00EF6CA1"/>
    <w:rsid w:val="00F00EAA"/>
    <w:rsid w:val="00F0100D"/>
    <w:rsid w:val="00F02794"/>
    <w:rsid w:val="00F11463"/>
    <w:rsid w:val="00F1256E"/>
    <w:rsid w:val="00F1269D"/>
    <w:rsid w:val="00F1634D"/>
    <w:rsid w:val="00F17092"/>
    <w:rsid w:val="00F2332A"/>
    <w:rsid w:val="00F25E11"/>
    <w:rsid w:val="00F27E08"/>
    <w:rsid w:val="00F311A9"/>
    <w:rsid w:val="00F327A2"/>
    <w:rsid w:val="00F3456E"/>
    <w:rsid w:val="00F36F1B"/>
    <w:rsid w:val="00F40D3C"/>
    <w:rsid w:val="00F43A2D"/>
    <w:rsid w:val="00F4555B"/>
    <w:rsid w:val="00F54FC8"/>
    <w:rsid w:val="00F55A9D"/>
    <w:rsid w:val="00F62CED"/>
    <w:rsid w:val="00F63655"/>
    <w:rsid w:val="00F63754"/>
    <w:rsid w:val="00F70D99"/>
    <w:rsid w:val="00F77CA7"/>
    <w:rsid w:val="00F82ECC"/>
    <w:rsid w:val="00F84007"/>
    <w:rsid w:val="00F8446C"/>
    <w:rsid w:val="00F9136D"/>
    <w:rsid w:val="00F960B2"/>
    <w:rsid w:val="00FA2912"/>
    <w:rsid w:val="00FA2F08"/>
    <w:rsid w:val="00FA6CA1"/>
    <w:rsid w:val="00FA6FD7"/>
    <w:rsid w:val="00FB0FF4"/>
    <w:rsid w:val="00FB1404"/>
    <w:rsid w:val="00FB33F1"/>
    <w:rsid w:val="00FB3541"/>
    <w:rsid w:val="00FB5FA3"/>
    <w:rsid w:val="00FC18B5"/>
    <w:rsid w:val="00FC1B95"/>
    <w:rsid w:val="00FC67C0"/>
    <w:rsid w:val="00FD1E0A"/>
    <w:rsid w:val="00FD2003"/>
    <w:rsid w:val="00FD48B4"/>
    <w:rsid w:val="00FD5E32"/>
    <w:rsid w:val="00FD6FFF"/>
    <w:rsid w:val="00FD7259"/>
    <w:rsid w:val="00FE7922"/>
    <w:rsid w:val="00FF0B2A"/>
    <w:rsid w:val="00FF549F"/>
    <w:rsid w:val="00FF59FF"/>
    <w:rsid w:val="00FF7F63"/>
    <w:rsid w:val="05864CBE"/>
    <w:rsid w:val="07DC923F"/>
    <w:rsid w:val="09EE9524"/>
    <w:rsid w:val="0DF4F83E"/>
    <w:rsid w:val="1546AEED"/>
    <w:rsid w:val="16C759C3"/>
    <w:rsid w:val="1B879EE9"/>
    <w:rsid w:val="1C1A3559"/>
    <w:rsid w:val="1FE82494"/>
    <w:rsid w:val="2424BBC9"/>
    <w:rsid w:val="29F23714"/>
    <w:rsid w:val="3687C6A6"/>
    <w:rsid w:val="3B939194"/>
    <w:rsid w:val="4838CB6B"/>
    <w:rsid w:val="49BDCF55"/>
    <w:rsid w:val="4D6DB94D"/>
    <w:rsid w:val="4F24C20E"/>
    <w:rsid w:val="56DF371F"/>
    <w:rsid w:val="5953B722"/>
    <w:rsid w:val="59C85666"/>
    <w:rsid w:val="6B81D150"/>
    <w:rsid w:val="6C3F181C"/>
    <w:rsid w:val="7296CEAA"/>
    <w:rsid w:val="74F231F4"/>
    <w:rsid w:val="7F129D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A55C3D13-4AF7-4045-BF46-2B0DCD51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03460D"/>
    <w:rPr>
      <w:sz w:val="16"/>
      <w:szCs w:val="16"/>
    </w:rPr>
  </w:style>
  <w:style w:type="paragraph" w:styleId="CommentText">
    <w:name w:val="annotation text"/>
    <w:basedOn w:val="Normal"/>
    <w:link w:val="CommentTextChar"/>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3460D"/>
    <w:rPr>
      <w:rFonts w:eastAsiaTheme="minorHAnsi"/>
      <w:kern w:val="2"/>
      <w:sz w:val="20"/>
      <w:szCs w:val="20"/>
      <w:lang w:val="en-GB" w:eastAsia="en-US"/>
      <w14:ligatures w14:val="standardContextual"/>
    </w:rPr>
  </w:style>
  <w:style w:type="paragraph" w:styleId="Revision">
    <w:name w:val="Revision"/>
    <w:hidden/>
    <w:uiPriority w:val="99"/>
    <w:semiHidden/>
    <w:rsid w:val="00C83994"/>
    <w:pPr>
      <w:spacing w:after="0" w:line="240" w:lineRule="auto"/>
    </w:pPr>
  </w:style>
  <w:style w:type="paragraph" w:styleId="CommentSubject">
    <w:name w:val="annotation subject"/>
    <w:basedOn w:val="CommentText"/>
    <w:next w:val="CommentText"/>
    <w:link w:val="CommentSubjectChar"/>
    <w:uiPriority w:val="99"/>
    <w:semiHidden/>
    <w:unhideWhenUsed/>
    <w:rsid w:val="003D37B1"/>
    <w:rPr>
      <w:rFonts w:eastAsiaTheme="minorEastAsia"/>
      <w:b/>
      <w:bCs/>
      <w:kern w:val="0"/>
      <w:lang w:val="de-DE" w:eastAsia="zh-CN"/>
      <w14:ligatures w14:val="none"/>
    </w:rPr>
  </w:style>
  <w:style w:type="character" w:customStyle="1" w:styleId="CommentSubjectChar">
    <w:name w:val="Comment Subject Char"/>
    <w:basedOn w:val="CommentTextChar"/>
    <w:link w:val="CommentSubject"/>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DefaultParagraphFont"/>
    <w:rsid w:val="00CC4F9B"/>
  </w:style>
  <w:style w:type="character" w:styleId="UnresolvedMention">
    <w:name w:val="Unresolved Mention"/>
    <w:basedOn w:val="DefaultParagraphFont"/>
    <w:uiPriority w:val="99"/>
    <w:semiHidden/>
    <w:unhideWhenUsed/>
    <w:rsid w:val="00275A97"/>
    <w:rPr>
      <w:color w:val="605E5C"/>
      <w:shd w:val="clear" w:color="auto" w:fill="E1DFDD"/>
    </w:rPr>
  </w:style>
  <w:style w:type="character" w:styleId="Mention">
    <w:name w:val="Mention"/>
    <w:basedOn w:val="DefaultParagraphFont"/>
    <w:uiPriority w:val="99"/>
    <w:unhideWhenUsed/>
    <w:rsid w:val="000510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2947">
      <w:bodyDiv w:val="1"/>
      <w:marLeft w:val="0"/>
      <w:marRight w:val="0"/>
      <w:marTop w:val="0"/>
      <w:marBottom w:val="0"/>
      <w:divBdr>
        <w:top w:val="none" w:sz="0" w:space="0" w:color="auto"/>
        <w:left w:val="none" w:sz="0" w:space="0" w:color="auto"/>
        <w:bottom w:val="none" w:sz="0" w:space="0" w:color="auto"/>
        <w:right w:val="none" w:sz="0" w:space="0" w:color="auto"/>
      </w:divBdr>
      <w:divsChild>
        <w:div w:id="4524015">
          <w:marLeft w:val="0"/>
          <w:marRight w:val="0"/>
          <w:marTop w:val="0"/>
          <w:marBottom w:val="0"/>
          <w:divBdr>
            <w:top w:val="none" w:sz="0" w:space="0" w:color="auto"/>
            <w:left w:val="none" w:sz="0" w:space="0" w:color="auto"/>
            <w:bottom w:val="none" w:sz="0" w:space="0" w:color="auto"/>
            <w:right w:val="none" w:sz="0" w:space="0" w:color="auto"/>
          </w:divBdr>
        </w:div>
        <w:div w:id="64881837">
          <w:marLeft w:val="0"/>
          <w:marRight w:val="0"/>
          <w:marTop w:val="0"/>
          <w:marBottom w:val="0"/>
          <w:divBdr>
            <w:top w:val="none" w:sz="0" w:space="0" w:color="auto"/>
            <w:left w:val="none" w:sz="0" w:space="0" w:color="auto"/>
            <w:bottom w:val="none" w:sz="0" w:space="0" w:color="auto"/>
            <w:right w:val="none" w:sz="0" w:space="0" w:color="auto"/>
          </w:divBdr>
        </w:div>
        <w:div w:id="1664427858">
          <w:marLeft w:val="0"/>
          <w:marRight w:val="0"/>
          <w:marTop w:val="0"/>
          <w:marBottom w:val="0"/>
          <w:divBdr>
            <w:top w:val="none" w:sz="0" w:space="0" w:color="auto"/>
            <w:left w:val="none" w:sz="0" w:space="0" w:color="auto"/>
            <w:bottom w:val="none" w:sz="0" w:space="0" w:color="auto"/>
            <w:right w:val="none" w:sz="0" w:space="0" w:color="auto"/>
          </w:divBdr>
        </w:div>
        <w:div w:id="1889025488">
          <w:marLeft w:val="0"/>
          <w:marRight w:val="0"/>
          <w:marTop w:val="0"/>
          <w:marBottom w:val="0"/>
          <w:divBdr>
            <w:top w:val="none" w:sz="0" w:space="0" w:color="auto"/>
            <w:left w:val="none" w:sz="0" w:space="0" w:color="auto"/>
            <w:bottom w:val="none" w:sz="0" w:space="0" w:color="auto"/>
            <w:right w:val="none" w:sz="0" w:space="0" w:color="auto"/>
          </w:divBdr>
        </w:div>
        <w:div w:id="2103985911">
          <w:marLeft w:val="0"/>
          <w:marRight w:val="0"/>
          <w:marTop w:val="0"/>
          <w:marBottom w:val="0"/>
          <w:divBdr>
            <w:top w:val="none" w:sz="0" w:space="0" w:color="auto"/>
            <w:left w:val="none" w:sz="0" w:space="0" w:color="auto"/>
            <w:bottom w:val="none" w:sz="0" w:space="0" w:color="auto"/>
            <w:right w:val="none" w:sz="0" w:space="0" w:color="auto"/>
          </w:divBdr>
        </w:div>
      </w:divsChild>
    </w:div>
    <w:div w:id="272714447">
      <w:bodyDiv w:val="1"/>
      <w:marLeft w:val="0"/>
      <w:marRight w:val="0"/>
      <w:marTop w:val="0"/>
      <w:marBottom w:val="0"/>
      <w:divBdr>
        <w:top w:val="none" w:sz="0" w:space="0" w:color="auto"/>
        <w:left w:val="none" w:sz="0" w:space="0" w:color="auto"/>
        <w:bottom w:val="none" w:sz="0" w:space="0" w:color="auto"/>
        <w:right w:val="none" w:sz="0" w:space="0" w:color="auto"/>
      </w:divBdr>
      <w:divsChild>
        <w:div w:id="815420225">
          <w:marLeft w:val="0"/>
          <w:marRight w:val="0"/>
          <w:marTop w:val="0"/>
          <w:marBottom w:val="0"/>
          <w:divBdr>
            <w:top w:val="none" w:sz="0" w:space="0" w:color="auto"/>
            <w:left w:val="none" w:sz="0" w:space="0" w:color="auto"/>
            <w:bottom w:val="none" w:sz="0" w:space="0" w:color="auto"/>
            <w:right w:val="none" w:sz="0" w:space="0" w:color="auto"/>
          </w:divBdr>
        </w:div>
        <w:div w:id="1546212207">
          <w:marLeft w:val="0"/>
          <w:marRight w:val="0"/>
          <w:marTop w:val="0"/>
          <w:marBottom w:val="0"/>
          <w:divBdr>
            <w:top w:val="none" w:sz="0" w:space="0" w:color="auto"/>
            <w:left w:val="none" w:sz="0" w:space="0" w:color="auto"/>
            <w:bottom w:val="none" w:sz="0" w:space="0" w:color="auto"/>
            <w:right w:val="none" w:sz="0" w:space="0" w:color="auto"/>
          </w:divBdr>
        </w:div>
        <w:div w:id="1627153938">
          <w:marLeft w:val="0"/>
          <w:marRight w:val="0"/>
          <w:marTop w:val="0"/>
          <w:marBottom w:val="0"/>
          <w:divBdr>
            <w:top w:val="none" w:sz="0" w:space="0" w:color="auto"/>
            <w:left w:val="none" w:sz="0" w:space="0" w:color="auto"/>
            <w:bottom w:val="none" w:sz="0" w:space="0" w:color="auto"/>
            <w:right w:val="none" w:sz="0" w:space="0" w:color="auto"/>
          </w:divBdr>
        </w:div>
        <w:div w:id="1991127973">
          <w:marLeft w:val="0"/>
          <w:marRight w:val="0"/>
          <w:marTop w:val="0"/>
          <w:marBottom w:val="0"/>
          <w:divBdr>
            <w:top w:val="none" w:sz="0" w:space="0" w:color="auto"/>
            <w:left w:val="none" w:sz="0" w:space="0" w:color="auto"/>
            <w:bottom w:val="none" w:sz="0" w:space="0" w:color="auto"/>
            <w:right w:val="none" w:sz="0" w:space="0" w:color="auto"/>
          </w:divBdr>
        </w:div>
        <w:div w:id="2064214911">
          <w:marLeft w:val="0"/>
          <w:marRight w:val="0"/>
          <w:marTop w:val="0"/>
          <w:marBottom w:val="0"/>
          <w:divBdr>
            <w:top w:val="none" w:sz="0" w:space="0" w:color="auto"/>
            <w:left w:val="none" w:sz="0" w:space="0" w:color="auto"/>
            <w:bottom w:val="none" w:sz="0" w:space="0" w:color="auto"/>
            <w:right w:val="none" w:sz="0" w:space="0" w:color="auto"/>
          </w:divBdr>
        </w:div>
      </w:divsChild>
    </w:div>
    <w:div w:id="366611477">
      <w:bodyDiv w:val="1"/>
      <w:marLeft w:val="0"/>
      <w:marRight w:val="0"/>
      <w:marTop w:val="0"/>
      <w:marBottom w:val="0"/>
      <w:divBdr>
        <w:top w:val="none" w:sz="0" w:space="0" w:color="auto"/>
        <w:left w:val="none" w:sz="0" w:space="0" w:color="auto"/>
        <w:bottom w:val="none" w:sz="0" w:space="0" w:color="auto"/>
        <w:right w:val="none" w:sz="0" w:space="0" w:color="auto"/>
      </w:divBdr>
    </w:div>
    <w:div w:id="74187427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8929972">
      <w:bodyDiv w:val="1"/>
      <w:marLeft w:val="0"/>
      <w:marRight w:val="0"/>
      <w:marTop w:val="0"/>
      <w:marBottom w:val="0"/>
      <w:divBdr>
        <w:top w:val="none" w:sz="0" w:space="0" w:color="auto"/>
        <w:left w:val="none" w:sz="0" w:space="0" w:color="auto"/>
        <w:bottom w:val="none" w:sz="0" w:space="0" w:color="auto"/>
        <w:right w:val="none" w:sz="0" w:space="0" w:color="auto"/>
      </w:divBdr>
    </w:div>
    <w:div w:id="1225750770">
      <w:bodyDiv w:val="1"/>
      <w:marLeft w:val="0"/>
      <w:marRight w:val="0"/>
      <w:marTop w:val="0"/>
      <w:marBottom w:val="0"/>
      <w:divBdr>
        <w:top w:val="none" w:sz="0" w:space="0" w:color="auto"/>
        <w:left w:val="none" w:sz="0" w:space="0" w:color="auto"/>
        <w:bottom w:val="none" w:sz="0" w:space="0" w:color="auto"/>
        <w:right w:val="none" w:sz="0" w:space="0" w:color="auto"/>
      </w:divBdr>
    </w:div>
    <w:div w:id="1327243010">
      <w:bodyDiv w:val="1"/>
      <w:marLeft w:val="0"/>
      <w:marRight w:val="0"/>
      <w:marTop w:val="0"/>
      <w:marBottom w:val="0"/>
      <w:divBdr>
        <w:top w:val="none" w:sz="0" w:space="0" w:color="auto"/>
        <w:left w:val="none" w:sz="0" w:space="0" w:color="auto"/>
        <w:bottom w:val="none" w:sz="0" w:space="0" w:color="auto"/>
        <w:right w:val="none" w:sz="0" w:space="0" w:color="auto"/>
      </w:divBdr>
    </w:div>
    <w:div w:id="1374694233">
      <w:bodyDiv w:val="1"/>
      <w:marLeft w:val="0"/>
      <w:marRight w:val="0"/>
      <w:marTop w:val="0"/>
      <w:marBottom w:val="0"/>
      <w:divBdr>
        <w:top w:val="none" w:sz="0" w:space="0" w:color="auto"/>
        <w:left w:val="none" w:sz="0" w:space="0" w:color="auto"/>
        <w:bottom w:val="none" w:sz="0" w:space="0" w:color="auto"/>
        <w:right w:val="none" w:sz="0" w:space="0" w:color="auto"/>
      </w:divBdr>
    </w:div>
    <w:div w:id="1518078119">
      <w:bodyDiv w:val="1"/>
      <w:marLeft w:val="0"/>
      <w:marRight w:val="0"/>
      <w:marTop w:val="0"/>
      <w:marBottom w:val="0"/>
      <w:divBdr>
        <w:top w:val="none" w:sz="0" w:space="0" w:color="auto"/>
        <w:left w:val="none" w:sz="0" w:space="0" w:color="auto"/>
        <w:bottom w:val="none" w:sz="0" w:space="0" w:color="auto"/>
        <w:right w:val="none" w:sz="0" w:space="0" w:color="auto"/>
      </w:divBdr>
    </w:div>
    <w:div w:id="1893345770">
      <w:bodyDiv w:val="1"/>
      <w:marLeft w:val="0"/>
      <w:marRight w:val="0"/>
      <w:marTop w:val="0"/>
      <w:marBottom w:val="0"/>
      <w:divBdr>
        <w:top w:val="none" w:sz="0" w:space="0" w:color="auto"/>
        <w:left w:val="none" w:sz="0" w:space="0" w:color="auto"/>
        <w:bottom w:val="none" w:sz="0" w:space="0" w:color="auto"/>
        <w:right w:val="none" w:sz="0" w:space="0" w:color="auto"/>
      </w:divBdr>
    </w:div>
    <w:div w:id="1946450954">
      <w:bodyDiv w:val="1"/>
      <w:marLeft w:val="0"/>
      <w:marRight w:val="0"/>
      <w:marTop w:val="0"/>
      <w:marBottom w:val="0"/>
      <w:divBdr>
        <w:top w:val="none" w:sz="0" w:space="0" w:color="auto"/>
        <w:left w:val="none" w:sz="0" w:space="0" w:color="auto"/>
        <w:bottom w:val="none" w:sz="0" w:space="0" w:color="auto"/>
        <w:right w:val="none" w:sz="0" w:space="0" w:color="auto"/>
      </w:divBdr>
    </w:div>
    <w:div w:id="20184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minexp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Props1.xml><?xml version="1.0" encoding="utf-8"?>
<ds:datastoreItem xmlns:ds="http://schemas.openxmlformats.org/officeDocument/2006/customXml" ds:itemID="{2765E433-4376-4B5F-BE1C-DA24B9DC2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4.xml><?xml version="1.0" encoding="utf-8"?>
<ds:datastoreItem xmlns:ds="http://schemas.openxmlformats.org/officeDocument/2006/customXml" ds:itemID="{1749B8E4-59B7-4C1B-BE7C-2A6B1A301943}">
  <ds:schemaRefs>
    <ds:schemaRef ds:uri="http://schemas.microsoft.com/office/2006/metadata/properties"/>
    <ds:schemaRef ds:uri="http://schemas.microsoft.com/office/infopath/2007/PartnerControls"/>
    <ds:schemaRef ds:uri="a084887b-8863-4698-be33-2a52ca02ddd4"/>
    <ds:schemaRef ds:uri="e428582c-2ef8-46e4-a00e-a9d71fd20f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1894</Words>
  <Characters>10796</Characters>
  <Application>Microsoft Office Word</Application>
  <DocSecurity>0</DocSecurity>
  <Lines>89</Lines>
  <Paragraphs>25</Paragraphs>
  <ScaleCrop>false</ScaleCrop>
  <Company>Liebherr</Company>
  <LinksUpToDate>false</LinksUpToDate>
  <CharactersWithSpaces>12665</CharactersWithSpaces>
  <SharedDoc>false</SharedDoc>
  <HLinks>
    <vt:vector size="6" baseType="variant">
      <vt:variant>
        <vt:i4>2752569</vt:i4>
      </vt:variant>
      <vt:variant>
        <vt:i4>0</vt:i4>
      </vt:variant>
      <vt:variant>
        <vt:i4>0</vt:i4>
      </vt:variant>
      <vt:variant>
        <vt:i4>5</vt:i4>
      </vt:variant>
      <vt:variant>
        <vt:lpwstr>http://www.liebherr.com/minexpo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38</cp:revision>
  <cp:lastPrinted>2024-06-26T08:21:00Z</cp:lastPrinted>
  <dcterms:created xsi:type="dcterms:W3CDTF">2024-09-13T11:43:00Z</dcterms:created>
  <dcterms:modified xsi:type="dcterms:W3CDTF">2024-09-24T22:35:00Z</dcterms:modified>
  <cp:category>Presseinformation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