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7E6D" w14:textId="77777777" w:rsidR="00001502" w:rsidRPr="00DF5D39" w:rsidRDefault="00E847CC" w:rsidP="00E847CC">
      <w:pPr>
        <w:pStyle w:val="Topline16Pt"/>
      </w:pPr>
      <w:r>
        <w:t>Press release</w:t>
      </w:r>
    </w:p>
    <w:p w14:paraId="5DF000E6" w14:textId="77777777" w:rsidR="00DF78F4" w:rsidRPr="00DF78F4" w:rsidRDefault="00416EDE" w:rsidP="00E847CC">
      <w:pPr>
        <w:pStyle w:val="HeadlineH233Pt"/>
        <w:spacing w:line="240" w:lineRule="auto"/>
        <w:rPr>
          <w:rFonts w:cs="Arial"/>
        </w:rPr>
      </w:pPr>
      <w:r w:rsidRPr="00A20146">
        <w:t>Strong</w:t>
      </w:r>
      <w:r w:rsidR="004F342E">
        <w:t xml:space="preserve"> performers: Liebherr presents new </w:t>
      </w:r>
      <w:r w:rsidR="008E225B" w:rsidRPr="00A20146">
        <w:t>mid</w:t>
      </w:r>
      <w:r w:rsidR="004F342E">
        <w:t xml:space="preserve">-sized wheel loader </w:t>
      </w:r>
      <w:proofErr w:type="gramStart"/>
      <w:r w:rsidR="004F342E">
        <w:t>series</w:t>
      </w:r>
      <w:proofErr w:type="gramEnd"/>
    </w:p>
    <w:p w14:paraId="5B5F6792" w14:textId="77777777" w:rsidR="00B81ED6" w:rsidRPr="00DF78F4" w:rsidRDefault="00B81ED6" w:rsidP="00B81ED6">
      <w:pPr>
        <w:pStyle w:val="HeadlineH233Pt"/>
        <w:spacing w:before="240" w:after="240" w:line="140" w:lineRule="exact"/>
        <w:rPr>
          <w:rFonts w:ascii="Tahoma" w:hAnsi="Tahoma" w:cs="Tahoma"/>
        </w:rPr>
      </w:pPr>
      <w:r>
        <w:rPr>
          <w:rFonts w:ascii="Tahoma" w:hAnsi="Tahoma"/>
        </w:rPr>
        <w:t>⸺</w:t>
      </w:r>
    </w:p>
    <w:p w14:paraId="5A9DCF32" w14:textId="7481B464" w:rsidR="00A91773" w:rsidRDefault="00C93B50" w:rsidP="00DF78F4">
      <w:pPr>
        <w:pStyle w:val="Bulletpoints11Pt"/>
      </w:pPr>
      <w:r>
        <w:t>The new wheel loader series (8</w:t>
      </w:r>
      <w:r w:rsidRPr="001C7730">
        <w:rPr>
          <w:vertAlign w:val="superscript"/>
        </w:rPr>
        <w:t>th</w:t>
      </w:r>
      <w:r>
        <w:t xml:space="preserve"> generation) consists of three models: L 526, L </w:t>
      </w:r>
      <w:r w:rsidR="000F08B2">
        <w:t>538,</w:t>
      </w:r>
      <w:r>
        <w:t xml:space="preserve"> and L 546</w:t>
      </w:r>
    </w:p>
    <w:p w14:paraId="16425805" w14:textId="49ADAD15" w:rsidR="000B0957" w:rsidRPr="001326EA" w:rsidRDefault="000B0957" w:rsidP="00DF78F4">
      <w:pPr>
        <w:pStyle w:val="Bulletpoints11Pt"/>
      </w:pPr>
      <w:r>
        <w:t xml:space="preserve">The L 546 will be featured at World of Concrete 2024 </w:t>
      </w:r>
    </w:p>
    <w:p w14:paraId="278875D0" w14:textId="77777777" w:rsidR="00B04663" w:rsidRPr="00B5618F" w:rsidRDefault="00D9141A" w:rsidP="00B8084D">
      <w:pPr>
        <w:pStyle w:val="Bulletpoints11Pt"/>
      </w:pPr>
      <w:r>
        <w:t>New lift arms with optimized z-bar kinematics s</w:t>
      </w:r>
      <w:r w:rsidR="002162AE" w:rsidRPr="00A20146">
        <w:t>ignificantly</w:t>
      </w:r>
      <w:r>
        <w:t xml:space="preserve"> increases </w:t>
      </w:r>
      <w:proofErr w:type="gramStart"/>
      <w:r>
        <w:t>performance</w:t>
      </w:r>
      <w:proofErr w:type="gramEnd"/>
    </w:p>
    <w:p w14:paraId="391C76AB" w14:textId="673D2146" w:rsidR="009A3D17" w:rsidRPr="00B5618F" w:rsidRDefault="001326EA" w:rsidP="00B04663">
      <w:pPr>
        <w:pStyle w:val="Bulletpoints11Pt"/>
      </w:pPr>
      <w:r>
        <w:t>Increase in engine power and optimi</w:t>
      </w:r>
      <w:r w:rsidR="00001502">
        <w:t>z</w:t>
      </w:r>
      <w:r>
        <w:t xml:space="preserve">ation of the hydrostatic travel </w:t>
      </w:r>
      <w:proofErr w:type="gramStart"/>
      <w:r>
        <w:t>drive</w:t>
      </w:r>
      <w:proofErr w:type="gramEnd"/>
    </w:p>
    <w:p w14:paraId="14014A40" w14:textId="77777777" w:rsidR="001326EA" w:rsidRPr="00B5618F" w:rsidRDefault="00B5618F" w:rsidP="00B04663">
      <w:pPr>
        <w:pStyle w:val="Bulletpoints11Pt"/>
      </w:pPr>
      <w:r>
        <w:t xml:space="preserve">Modern equipment such as active personnel detection increases safety and </w:t>
      </w:r>
      <w:proofErr w:type="gramStart"/>
      <w:r>
        <w:t>comfort</w:t>
      </w:r>
      <w:proofErr w:type="gramEnd"/>
    </w:p>
    <w:p w14:paraId="108A41B5" w14:textId="26A19B8F" w:rsidR="002F239E" w:rsidRDefault="0065018F" w:rsidP="001331C3">
      <w:pPr>
        <w:pStyle w:val="Teaser11Pt"/>
      </w:pPr>
      <w:r>
        <w:t xml:space="preserve">Liebherr has redeveloped and fundamentally revised its range of </w:t>
      </w:r>
      <w:r w:rsidR="00A20146">
        <w:t>m</w:t>
      </w:r>
      <w:r w:rsidR="00A20146" w:rsidRPr="00A20146">
        <w:t>id</w:t>
      </w:r>
      <w:r w:rsidR="00A20146">
        <w:t xml:space="preserve">-sized </w:t>
      </w:r>
      <w:r>
        <w:t xml:space="preserve">wheel loaders. The </w:t>
      </w:r>
      <w:r w:rsidRPr="00A20146">
        <w:t>newly</w:t>
      </w:r>
      <w:r w:rsidR="002162AE" w:rsidRPr="00A20146">
        <w:t>-</w:t>
      </w:r>
      <w:r w:rsidRPr="00A20146">
        <w:t>designed</w:t>
      </w:r>
      <w:r>
        <w:t xml:space="preserve"> lift arm ensure</w:t>
      </w:r>
      <w:r w:rsidR="00A20146">
        <w:t>s</w:t>
      </w:r>
      <w:r>
        <w:t xml:space="preserve"> maximum breakout, holding and </w:t>
      </w:r>
      <w:r w:rsidR="002162AE" w:rsidRPr="00A20146">
        <w:t>lowering</w:t>
      </w:r>
      <w:r>
        <w:t xml:space="preserve"> forces. It has optimi</w:t>
      </w:r>
      <w:r w:rsidR="00001502">
        <w:t>z</w:t>
      </w:r>
      <w:r>
        <w:t xml:space="preserve">ed z-bar kinematics and improved working hydraulics. Increases in engine power and tipping loads prepare the wheel loaders for demanding operations in various sectors, such as </w:t>
      </w:r>
      <w:r w:rsidR="002162AE" w:rsidRPr="00A20146">
        <w:t>excavation</w:t>
      </w:r>
      <w:r>
        <w:t xml:space="preserve">, recycling or </w:t>
      </w:r>
      <w:r w:rsidR="002162AE" w:rsidRPr="00A20146">
        <w:t>log handling</w:t>
      </w:r>
      <w:r>
        <w:t>. The new development of the m</w:t>
      </w:r>
      <w:r w:rsidR="002162AE" w:rsidRPr="00A20146">
        <w:t>id</w:t>
      </w:r>
      <w:r>
        <w:t>-sized wheel loader series from Liebherr is also characteri</w:t>
      </w:r>
      <w:r w:rsidR="00001502">
        <w:t>z</w:t>
      </w:r>
      <w:r>
        <w:t>ed by a powerful design and intelligent assistance systems. These includeactive personnel detection with brake assistant or the fully automatic quick-coupler system</w:t>
      </w:r>
      <w:r w:rsidR="00001502">
        <w:t>, Solidlink</w:t>
      </w:r>
      <w:r>
        <w:t>.</w:t>
      </w:r>
    </w:p>
    <w:p w14:paraId="23078908" w14:textId="57930117" w:rsidR="00523E4F" w:rsidRPr="005D1CDA" w:rsidRDefault="0042442A" w:rsidP="00AF47B4">
      <w:pPr>
        <w:pStyle w:val="Copytext11Pt"/>
      </w:pPr>
      <w:r>
        <w:t>Newport News, VA (USA), January 23, 2024</w:t>
      </w:r>
      <w:r w:rsidR="00AF47B4">
        <w:t xml:space="preserve"> – </w:t>
      </w:r>
      <w:r w:rsidR="000B0957">
        <w:t xml:space="preserve">Liebherr will feature the </w:t>
      </w:r>
      <w:hyperlink r:id="rId11" w:history="1">
        <w:r w:rsidR="000B0957" w:rsidRPr="000B0957">
          <w:rPr>
            <w:rStyle w:val="Hyperlink"/>
          </w:rPr>
          <w:t>L 546 wheel loader</w:t>
        </w:r>
      </w:hyperlink>
      <w:r w:rsidR="000B0957">
        <w:t xml:space="preserve"> at World of Concrete 2024 for attendees to interact with at the tradeshow. The L 546 is one of three generation 8 mid-size wheel loader models.  </w:t>
      </w:r>
      <w:r w:rsidR="00AF47B4">
        <w:t>The three models, L 526, L </w:t>
      </w:r>
      <w:r w:rsidR="000F08B2">
        <w:t>538,</w:t>
      </w:r>
      <w:r w:rsidR="00AF47B4">
        <w:t xml:space="preserve"> and </w:t>
      </w:r>
      <w:r w:rsidR="000B0957" w:rsidRPr="000B0957">
        <w:t>L 546</w:t>
      </w:r>
      <w:r w:rsidR="00AF47B4">
        <w:t>, in the latest Generation 8 have bucket sizes between 2.2 and 3.0 m³ in the standard version and are characteri</w:t>
      </w:r>
      <w:r w:rsidR="00001502">
        <w:t>z</w:t>
      </w:r>
      <w:r w:rsidR="00AF47B4">
        <w:t>ed by a significant increase in performance compared to the previous generation. The new L 526</w:t>
      </w:r>
      <w:r w:rsidR="00A91773">
        <w:t xml:space="preserve"> offers</w:t>
      </w:r>
      <w:r w:rsidR="00AF47B4">
        <w:t xml:space="preserve"> around 20 </w:t>
      </w:r>
      <w:r w:rsidR="002162AE" w:rsidRPr="00A20146">
        <w:t xml:space="preserve">percent </w:t>
      </w:r>
      <w:r w:rsidR="00AF47B4">
        <w:t xml:space="preserve">more engine power and over 20 </w:t>
      </w:r>
      <w:r w:rsidR="002162AE" w:rsidRPr="00A20146">
        <w:t xml:space="preserve">percent higher </w:t>
      </w:r>
      <w:r w:rsidR="00AF47B4">
        <w:t xml:space="preserve">breakout forces than its predecessor. The L 538 and L 546 models also </w:t>
      </w:r>
      <w:r w:rsidR="00001502">
        <w:t>exhibit</w:t>
      </w:r>
      <w:r w:rsidR="00AF47B4">
        <w:t xml:space="preserve"> performance increases in all areas: </w:t>
      </w:r>
      <w:r w:rsidR="002162AE" w:rsidRPr="00A20146">
        <w:t xml:space="preserve">for </w:t>
      </w:r>
      <w:r w:rsidR="00AF47B4">
        <w:t>example, with the optimi</w:t>
      </w:r>
      <w:r w:rsidR="00001502">
        <w:t>z</w:t>
      </w:r>
      <w:r w:rsidR="00AF47B4">
        <w:t>ed travel drive</w:t>
      </w:r>
      <w:r w:rsidR="002162AE" w:rsidRPr="00A20146">
        <w:t>, providing</w:t>
      </w:r>
      <w:r w:rsidR="00AF47B4">
        <w:t xml:space="preserve"> increased traction to ensure that the new wheel loaders accelerate dynamically in everyday work</w:t>
      </w:r>
      <w:r w:rsidR="002162AE" w:rsidRPr="00A20146">
        <w:t>,</w:t>
      </w:r>
      <w:r w:rsidR="00AF47B4">
        <w:t xml:space="preserve"> and</w:t>
      </w:r>
      <w:r w:rsidR="002162AE">
        <w:t xml:space="preserve"> </w:t>
      </w:r>
      <w:r w:rsidR="002162AE" w:rsidRPr="00A20146">
        <w:t>can</w:t>
      </w:r>
      <w:r w:rsidR="00AF47B4">
        <w:t xml:space="preserve"> penetrate powerfully into </w:t>
      </w:r>
      <w:r w:rsidR="002162AE" w:rsidRPr="00A20146">
        <w:t>all</w:t>
      </w:r>
      <w:r w:rsidR="00AF47B4">
        <w:t xml:space="preserve"> material</w:t>
      </w:r>
      <w:r w:rsidR="002162AE" w:rsidRPr="00A20146">
        <w:t>s</w:t>
      </w:r>
      <w:r w:rsidR="00AF47B4">
        <w:t>. The three models are now available to order.</w:t>
      </w:r>
    </w:p>
    <w:p w14:paraId="7320CE4C" w14:textId="6A80C444" w:rsidR="002F7BA1" w:rsidRPr="005D1CDA" w:rsidRDefault="00D9141A" w:rsidP="00E569E4">
      <w:pPr>
        <w:pStyle w:val="Copyhead11Pt"/>
      </w:pPr>
      <w:r>
        <w:t xml:space="preserve">Powerful and versatile: </w:t>
      </w:r>
      <w:r w:rsidR="000F08B2">
        <w:t>Newly</w:t>
      </w:r>
      <w:r w:rsidR="000F08B2" w:rsidRPr="00A20146">
        <w:t xml:space="preserve"> developed</w:t>
      </w:r>
      <w:r>
        <w:t xml:space="preserve"> lift arms with optimi</w:t>
      </w:r>
      <w:r w:rsidR="00001502">
        <w:t>z</w:t>
      </w:r>
      <w:r>
        <w:t>ed z-bar kinematics</w:t>
      </w:r>
    </w:p>
    <w:p w14:paraId="4C972402" w14:textId="46341C7C" w:rsidR="000A1BB2" w:rsidRDefault="006F1BF4" w:rsidP="000A1BB2">
      <w:pPr>
        <w:pStyle w:val="Copytext11Pt"/>
      </w:pPr>
      <w:r>
        <w:t xml:space="preserve">Liebherr has reinforced the steel construction of the front section of the new wheel loaders </w:t>
      </w:r>
      <w:r w:rsidR="00A91773">
        <w:t>to</w:t>
      </w:r>
      <w:r>
        <w:t xml:space="preserve"> prepare the machines for handling heavy loads. Structural reinforcements on the new lift arms, for example on the</w:t>
      </w:r>
      <w:r w:rsidR="002162AE" w:rsidRPr="00A20146">
        <w:t xml:space="preserve"> lift</w:t>
      </w:r>
      <w:r w:rsidRPr="00A20146">
        <w:t xml:space="preserve"> </w:t>
      </w:r>
      <w:r>
        <w:t xml:space="preserve">arms or the cross tube, increase </w:t>
      </w:r>
      <w:r w:rsidR="00001502">
        <w:t>strength</w:t>
      </w:r>
      <w:r>
        <w:t>. The optimi</w:t>
      </w:r>
      <w:r w:rsidR="00001502">
        <w:t>z</w:t>
      </w:r>
      <w:r>
        <w:t>ed z-bar kinematics with electro-hydraulic pilot control</w:t>
      </w:r>
      <w:r w:rsidR="002162AE" w:rsidRPr="00A20146">
        <w:t>s</w:t>
      </w:r>
      <w:r>
        <w:t xml:space="preserve"> has larger hydraulic cylinders and more powerful working pumps. The combination of these innovations enables faster cycle times and dynamic and powerful work movements – even with heavy attachments such as high dump buckets or log </w:t>
      </w:r>
      <w:r w:rsidR="002162AE" w:rsidRPr="00A20146">
        <w:t>grapples</w:t>
      </w:r>
      <w:r>
        <w:t>.</w:t>
      </w:r>
    </w:p>
    <w:p w14:paraId="5D4D37DE" w14:textId="211ACD32" w:rsidR="00DD591F" w:rsidRDefault="000A1BB2" w:rsidP="00EA085C">
      <w:pPr>
        <w:pStyle w:val="Copytext11Pt"/>
      </w:pPr>
      <w:r>
        <w:t xml:space="preserve">With the increased performance </w:t>
      </w:r>
      <w:r w:rsidR="002162AE" w:rsidRPr="00A20146">
        <w:t>providing a strong basis</w:t>
      </w:r>
      <w:r>
        <w:t>, Liebherr offers numerous equipment options for the lift arms for industry-specific challenges</w:t>
      </w:r>
      <w:r w:rsidR="00001502">
        <w:t>.</w:t>
      </w:r>
      <w:r>
        <w:t xml:space="preserve"> High lift arms,</w:t>
      </w:r>
      <w:r w:rsidR="00A2757F" w:rsidRPr="00A20146">
        <w:t xml:space="preserve"> for example, are</w:t>
      </w:r>
      <w:r>
        <w:t xml:space="preserve"> an extended variant of the z-bar </w:t>
      </w:r>
      <w:r w:rsidR="000F08B2">
        <w:t>kinematics and</w:t>
      </w:r>
      <w:r w:rsidR="00A2757F" w:rsidRPr="00A20146">
        <w:t xml:space="preserve"> ensure </w:t>
      </w:r>
      <w:r>
        <w:t xml:space="preserve">greater range and efficient loading processes at </w:t>
      </w:r>
      <w:r w:rsidR="00A2757F" w:rsidRPr="00A20146">
        <w:t xml:space="preserve">all </w:t>
      </w:r>
      <w:r>
        <w:t>heights. For wheel loader applications that regularly require different attachments, there is a view-optimi</w:t>
      </w:r>
      <w:r w:rsidR="00001502">
        <w:t>z</w:t>
      </w:r>
      <w:r>
        <w:t>ed quick coupler and the fully automatic quick-coupler system</w:t>
      </w:r>
      <w:r w:rsidR="00001502">
        <w:t xml:space="preserve">, </w:t>
      </w:r>
      <w:proofErr w:type="spellStart"/>
      <w:r w:rsidR="00001502">
        <w:t>Solidlink</w:t>
      </w:r>
      <w:proofErr w:type="spellEnd"/>
      <w:r>
        <w:t>. This allows the machine operator to change between mechanical and hydraulic working tools from the cab quickly and safely at the touch of a button. This saves time and reduces the risk of accidents.</w:t>
      </w:r>
    </w:p>
    <w:p w14:paraId="76652300" w14:textId="554A8C32" w:rsidR="00C65046" w:rsidRDefault="00C65046" w:rsidP="00EA085C">
      <w:pPr>
        <w:pStyle w:val="Copytext11Pt"/>
      </w:pPr>
      <w:r>
        <w:t xml:space="preserve">Well thought-out details make day-to-day work with the wheel loaders easier. For example, you can activate the parallel guidance of the lift arms at the push of a button and thus work efficiently and safely with </w:t>
      </w:r>
      <w:r w:rsidR="00A2757F" w:rsidRPr="00A20146">
        <w:t>forks</w:t>
      </w:r>
      <w:r>
        <w:t>. The new</w:t>
      </w:r>
      <w:r w:rsidR="00605777">
        <w:t>, optional</w:t>
      </w:r>
      <w:r>
        <w:t xml:space="preserve"> bucket-</w:t>
      </w:r>
      <w:r w:rsidR="00A2757F" w:rsidRPr="00A20146">
        <w:t xml:space="preserve">tilt </w:t>
      </w:r>
      <w:r w:rsidRPr="00A20146">
        <w:t xml:space="preserve">assist </w:t>
      </w:r>
      <w:r>
        <w:t xml:space="preserve">helps when </w:t>
      </w:r>
      <w:r w:rsidR="00A2757F" w:rsidRPr="00A20146">
        <w:t>working with</w:t>
      </w:r>
      <w:r w:rsidRPr="00A20146">
        <w:t xml:space="preserve"> </w:t>
      </w:r>
      <w:r>
        <w:t>sticky materials, such as damp soil or compost, and</w:t>
      </w:r>
      <w:r w:rsidR="00A2757F" w:rsidRPr="00A20146">
        <w:t xml:space="preserve"> ensures</w:t>
      </w:r>
      <w:r>
        <w:t xml:space="preserve"> accurate loading by shaking out the bucket. </w:t>
      </w:r>
      <w:r w:rsidR="000F08B2">
        <w:t>While</w:t>
      </w:r>
      <w:r>
        <w:t xml:space="preserve"> redesigning the lift arms, Liebherr has also revised the bucket design of the new m</w:t>
      </w:r>
      <w:r w:rsidR="00A20146">
        <w:t>i</w:t>
      </w:r>
      <w:r>
        <w:t xml:space="preserve">d-sized wheel loaders. Consequently, customers can now more accurately tailor the individual </w:t>
      </w:r>
      <w:r w:rsidR="00A2757F" w:rsidRPr="00A20146">
        <w:t>elements</w:t>
      </w:r>
      <w:r>
        <w:t xml:space="preserve"> and wear parts of the buckets to their needs at the time of ordering.</w:t>
      </w:r>
    </w:p>
    <w:p w14:paraId="20FCB1A9" w14:textId="180BCC48" w:rsidR="00175269" w:rsidRPr="00B5618F" w:rsidRDefault="00D9141A" w:rsidP="00175269">
      <w:pPr>
        <w:pStyle w:val="Copyhead11Pt"/>
      </w:pPr>
      <w:r>
        <w:t>Powerful and modern: Optimi</w:t>
      </w:r>
      <w:r w:rsidR="00001502">
        <w:t>z</w:t>
      </w:r>
      <w:r>
        <w:t>ed travel drive and intelligent equipment</w:t>
      </w:r>
    </w:p>
    <w:p w14:paraId="19386136" w14:textId="3A318D70" w:rsidR="00E366B1" w:rsidRPr="002F239E" w:rsidRDefault="00E366B1" w:rsidP="007D7466">
      <w:pPr>
        <w:pStyle w:val="Copytext11Pt"/>
      </w:pPr>
      <w:r>
        <w:t>In addition to the new lift arms, the optimi</w:t>
      </w:r>
      <w:r w:rsidR="00001502">
        <w:t>z</w:t>
      </w:r>
      <w:r>
        <w:t xml:space="preserve">ation of the hydrostatic travel drive </w:t>
      </w:r>
      <w:r w:rsidR="000F08B2">
        <w:t>contributes</w:t>
      </w:r>
      <w:r>
        <w:t xml:space="preserve"> to the increased productivity of the wheel loaders. The new, more powerful engines are characteri</w:t>
      </w:r>
      <w:r w:rsidR="00001502">
        <w:t>z</w:t>
      </w:r>
      <w:r>
        <w:t xml:space="preserve">ed by a higher maximum torque at a lower nominal speed. In this way, performance and efficiency can be increased with the same low fuel consumption. More powerful hydraulic components, such as larger travel motors and travel pumps, ensure greater traction in all three models and thus </w:t>
      </w:r>
      <w:r w:rsidR="00A2757F" w:rsidRPr="00A20146">
        <w:t>rapid loading cycles</w:t>
      </w:r>
      <w:r>
        <w:t>. For a high degree of robustness, Liebherr has reinforced the axles</w:t>
      </w:r>
      <w:r w:rsidR="00A2757F" w:rsidRPr="00A20146">
        <w:t xml:space="preserve">, as well as </w:t>
      </w:r>
      <w:r>
        <w:t>travel drive</w:t>
      </w:r>
      <w:r w:rsidR="00A2757F">
        <w:t xml:space="preserve"> </w:t>
      </w:r>
      <w:r w:rsidR="00A2757F" w:rsidRPr="00A20146">
        <w:t>components;</w:t>
      </w:r>
      <w:r>
        <w:t xml:space="preserve"> </w:t>
      </w:r>
      <w:r w:rsidR="00A2757F" w:rsidRPr="00A20146">
        <w:t xml:space="preserve">depending </w:t>
      </w:r>
      <w:r>
        <w:t xml:space="preserve">on the model, all </w:t>
      </w:r>
      <w:r w:rsidR="000F08B2">
        <w:t>three-wheel</w:t>
      </w:r>
      <w:r>
        <w:t xml:space="preserve"> loaders have larger front or rear axles than their predecessors.</w:t>
      </w:r>
    </w:p>
    <w:p w14:paraId="22F60CAA" w14:textId="3284490B" w:rsidR="007D7466" w:rsidRPr="00A20146" w:rsidRDefault="002F239E" w:rsidP="007D7466">
      <w:pPr>
        <w:pStyle w:val="Copytext11Pt"/>
      </w:pPr>
      <w:r>
        <w:t xml:space="preserve">A modern design, which is reflected in the engine </w:t>
      </w:r>
      <w:r w:rsidR="00001502">
        <w:t xml:space="preserve">hood were </w:t>
      </w:r>
      <w:r>
        <w:t>designed for optimi</w:t>
      </w:r>
      <w:r w:rsidR="00001502">
        <w:t>z</w:t>
      </w:r>
      <w:r>
        <w:t xml:space="preserve">ed visibility </w:t>
      </w:r>
      <w:r w:rsidR="00A2757F" w:rsidRPr="00A20146">
        <w:t>as well as</w:t>
      </w:r>
      <w:r>
        <w:t xml:space="preserve"> the comfortable operator’s cab, and intelligent equipment are also part of the overall package of the new m</w:t>
      </w:r>
      <w:r w:rsidR="00A2757F" w:rsidRPr="00A20146">
        <w:t>id</w:t>
      </w:r>
      <w:r>
        <w:t xml:space="preserve">-sized Liebherr wheel loaders. An example of this is the active personnel detection with brake assistant. This optional assistance system, which is installed at the rear of the wheel loader, warns the machine operator visually on the display and with acoustic signals of dangers in the rear area of the wheel loader. </w:t>
      </w:r>
      <w:r w:rsidR="000F08B2">
        <w:t>To</w:t>
      </w:r>
      <w:r>
        <w:t xml:space="preserve"> provide a specific warning of imminent injury to </w:t>
      </w:r>
      <w:r w:rsidR="00A2757F" w:rsidRPr="00A20146">
        <w:t>persons</w:t>
      </w:r>
      <w:r>
        <w:t xml:space="preserve">, the assistance system independently distinguishes between </w:t>
      </w:r>
      <w:r w:rsidR="00A2757F" w:rsidRPr="00A20146">
        <w:t>humans</w:t>
      </w:r>
      <w:r>
        <w:t xml:space="preserve"> and objects using smart sensors. As soon as the active personnel detection emits a warning signal, the brake assistant automatically reduces the speed of the wheel loader to a </w:t>
      </w:r>
      <w:r w:rsidRPr="00A20146">
        <w:t>standstill</w:t>
      </w:r>
      <w:r w:rsidR="000F08B2">
        <w:t>,</w:t>
      </w:r>
      <w:r w:rsidRPr="00A20146">
        <w:t xml:space="preserve"> </w:t>
      </w:r>
      <w:r w:rsidR="000F08B2" w:rsidRPr="00A20146">
        <w:t>to</w:t>
      </w:r>
      <w:r w:rsidRPr="00A20146">
        <w:t xml:space="preserve"> avoid a potential accident.</w:t>
      </w:r>
    </w:p>
    <w:p w14:paraId="5450AA80" w14:textId="77777777" w:rsidR="00C77B5D" w:rsidRPr="000230D7" w:rsidRDefault="002B515B" w:rsidP="00C77B5D">
      <w:pPr>
        <w:pStyle w:val="Copyhead11Pt"/>
        <w:rPr>
          <w:szCs w:val="22"/>
        </w:rPr>
      </w:pPr>
      <w:r w:rsidRPr="000230D7">
        <w:t>Performance data of the new m</w:t>
      </w:r>
      <w:r w:rsidR="00A20146" w:rsidRPr="000230D7">
        <w:t>i</w:t>
      </w:r>
      <w:r w:rsidRPr="000230D7">
        <w:t>d-sized Liebherr wheel loaders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549"/>
      </w:tblGrid>
      <w:tr w:rsidR="00A20146" w:rsidRPr="00605777" w14:paraId="24D71C03" w14:textId="77777777" w:rsidTr="000E3882">
        <w:tc>
          <w:tcPr>
            <w:tcW w:w="2548" w:type="dxa"/>
          </w:tcPr>
          <w:p w14:paraId="35A9DB0D" w14:textId="77777777" w:rsidR="00C77B5D" w:rsidRPr="000230D7" w:rsidRDefault="00C77B5D" w:rsidP="005413BC">
            <w:pPr>
              <w:pStyle w:val="Copytext11Pt"/>
              <w:spacing w:after="120"/>
              <w:rPr>
                <w:sz w:val="22"/>
                <w:szCs w:val="22"/>
              </w:rPr>
            </w:pPr>
            <w:r w:rsidRPr="000230D7">
              <w:t>Model:</w:t>
            </w:r>
          </w:p>
        </w:tc>
        <w:tc>
          <w:tcPr>
            <w:tcW w:w="2548" w:type="dxa"/>
          </w:tcPr>
          <w:p w14:paraId="50454070" w14:textId="77777777" w:rsidR="00C77B5D" w:rsidRPr="000230D7" w:rsidRDefault="00C77B5D" w:rsidP="007C2B7C">
            <w:pPr>
              <w:pStyle w:val="Copytext11Pt"/>
              <w:spacing w:after="120"/>
              <w:rPr>
                <w:sz w:val="22"/>
                <w:szCs w:val="22"/>
              </w:rPr>
            </w:pPr>
            <w:r w:rsidRPr="000230D7">
              <w:t>L 526</w:t>
            </w:r>
          </w:p>
        </w:tc>
        <w:tc>
          <w:tcPr>
            <w:tcW w:w="2549" w:type="dxa"/>
          </w:tcPr>
          <w:p w14:paraId="0BC5E3CE" w14:textId="77777777" w:rsidR="00C77B5D" w:rsidRPr="000230D7" w:rsidRDefault="00C77B5D" w:rsidP="007C2B7C">
            <w:pPr>
              <w:pStyle w:val="Copytext11Pt"/>
              <w:spacing w:after="120"/>
              <w:rPr>
                <w:sz w:val="22"/>
                <w:szCs w:val="22"/>
              </w:rPr>
            </w:pPr>
            <w:r w:rsidRPr="000230D7">
              <w:t>L 538</w:t>
            </w:r>
          </w:p>
        </w:tc>
        <w:tc>
          <w:tcPr>
            <w:tcW w:w="2549" w:type="dxa"/>
          </w:tcPr>
          <w:p w14:paraId="41C10484" w14:textId="77777777" w:rsidR="00C77B5D" w:rsidRPr="000230D7" w:rsidRDefault="00C77B5D" w:rsidP="007C2B7C">
            <w:pPr>
              <w:pStyle w:val="Copytext11Pt"/>
              <w:spacing w:after="120"/>
              <w:rPr>
                <w:sz w:val="22"/>
                <w:szCs w:val="22"/>
              </w:rPr>
            </w:pPr>
            <w:r w:rsidRPr="000230D7">
              <w:t>L 546</w:t>
            </w:r>
          </w:p>
        </w:tc>
      </w:tr>
      <w:tr w:rsidR="00A20146" w:rsidRPr="00605777" w14:paraId="409DE72C" w14:textId="77777777" w:rsidTr="000E3882">
        <w:tc>
          <w:tcPr>
            <w:tcW w:w="2548" w:type="dxa"/>
          </w:tcPr>
          <w:p w14:paraId="6B5A73AE" w14:textId="77777777" w:rsidR="00C77B5D" w:rsidRPr="000230D7" w:rsidRDefault="00C77B5D" w:rsidP="005413BC">
            <w:pPr>
              <w:pStyle w:val="Copytext11Pt"/>
              <w:spacing w:after="120"/>
              <w:rPr>
                <w:sz w:val="22"/>
                <w:szCs w:val="22"/>
              </w:rPr>
            </w:pPr>
            <w:r w:rsidRPr="000230D7">
              <w:t>Tipping load:</w:t>
            </w:r>
          </w:p>
        </w:tc>
        <w:tc>
          <w:tcPr>
            <w:tcW w:w="2548" w:type="dxa"/>
          </w:tcPr>
          <w:p w14:paraId="0814DD30" w14:textId="00D4C6F4" w:rsidR="00C77B5D" w:rsidRPr="000230D7" w:rsidRDefault="000230D7" w:rsidP="007C2B7C">
            <w:pPr>
              <w:pStyle w:val="Copytext11Pt"/>
              <w:spacing w:after="120"/>
              <w:rPr>
                <w:sz w:val="22"/>
                <w:szCs w:val="22"/>
              </w:rPr>
            </w:pPr>
            <w:r>
              <w:t>19,245 lbs.</w:t>
            </w:r>
          </w:p>
        </w:tc>
        <w:tc>
          <w:tcPr>
            <w:tcW w:w="2549" w:type="dxa"/>
          </w:tcPr>
          <w:p w14:paraId="23764166" w14:textId="0D1E1070" w:rsidR="00C77B5D" w:rsidRPr="000230D7" w:rsidRDefault="000230D7" w:rsidP="00C60A71">
            <w:pPr>
              <w:pStyle w:val="Copytext11Pt"/>
              <w:spacing w:after="120"/>
              <w:rPr>
                <w:sz w:val="22"/>
                <w:szCs w:val="22"/>
              </w:rPr>
            </w:pPr>
            <w:r>
              <w:t>21,275 lbs.</w:t>
            </w:r>
          </w:p>
        </w:tc>
        <w:tc>
          <w:tcPr>
            <w:tcW w:w="2549" w:type="dxa"/>
          </w:tcPr>
          <w:p w14:paraId="0AB79A0F" w14:textId="138E545C" w:rsidR="00C77B5D" w:rsidRPr="000230D7" w:rsidRDefault="000230D7" w:rsidP="00C60A71">
            <w:pPr>
              <w:pStyle w:val="Copytext11Pt"/>
              <w:spacing w:after="120"/>
              <w:rPr>
                <w:sz w:val="22"/>
                <w:szCs w:val="22"/>
              </w:rPr>
            </w:pPr>
            <w:r>
              <w:t>24,275 lbs.</w:t>
            </w:r>
          </w:p>
        </w:tc>
      </w:tr>
      <w:tr w:rsidR="00A20146" w:rsidRPr="00605777" w14:paraId="65BE8759" w14:textId="77777777" w:rsidTr="000E3882">
        <w:tc>
          <w:tcPr>
            <w:tcW w:w="2548" w:type="dxa"/>
          </w:tcPr>
          <w:p w14:paraId="04BA65E5" w14:textId="77777777" w:rsidR="00C77B5D" w:rsidRPr="000230D7" w:rsidRDefault="00C77B5D" w:rsidP="005413BC">
            <w:pPr>
              <w:pStyle w:val="Copytext11Pt"/>
              <w:spacing w:after="120"/>
              <w:rPr>
                <w:sz w:val="22"/>
                <w:szCs w:val="22"/>
              </w:rPr>
            </w:pPr>
            <w:r w:rsidRPr="000230D7">
              <w:t>Bucket capacity:</w:t>
            </w:r>
          </w:p>
        </w:tc>
        <w:tc>
          <w:tcPr>
            <w:tcW w:w="2548" w:type="dxa"/>
          </w:tcPr>
          <w:p w14:paraId="7DE3ACAC" w14:textId="2719F06C" w:rsidR="00C77B5D" w:rsidRPr="000230D7" w:rsidRDefault="007C2B7C" w:rsidP="007C2B7C">
            <w:pPr>
              <w:pStyle w:val="Copytext11Pt"/>
              <w:spacing w:after="120"/>
              <w:rPr>
                <w:sz w:val="22"/>
                <w:szCs w:val="22"/>
              </w:rPr>
            </w:pPr>
            <w:r w:rsidRPr="000230D7">
              <w:t>2</w:t>
            </w:r>
            <w:r w:rsidR="000230D7">
              <w:t>.9 y</w:t>
            </w:r>
            <w:r w:rsidR="000230D7" w:rsidRPr="000230D7">
              <w:rPr>
                <w:vertAlign w:val="superscript"/>
              </w:rPr>
              <w:t>3</w:t>
            </w:r>
          </w:p>
        </w:tc>
        <w:tc>
          <w:tcPr>
            <w:tcW w:w="2549" w:type="dxa"/>
          </w:tcPr>
          <w:p w14:paraId="22644250" w14:textId="270700E8" w:rsidR="00C77B5D" w:rsidRPr="000230D7" w:rsidRDefault="000230D7" w:rsidP="00C60A71">
            <w:pPr>
              <w:pStyle w:val="Copytext11Pt"/>
              <w:spacing w:after="120"/>
              <w:rPr>
                <w:sz w:val="22"/>
                <w:szCs w:val="22"/>
              </w:rPr>
            </w:pPr>
            <w:r>
              <w:t>3.4 y</w:t>
            </w:r>
            <w:r w:rsidRPr="000230D7">
              <w:rPr>
                <w:vertAlign w:val="superscript"/>
              </w:rPr>
              <w:t>3</w:t>
            </w:r>
          </w:p>
        </w:tc>
        <w:tc>
          <w:tcPr>
            <w:tcW w:w="2549" w:type="dxa"/>
          </w:tcPr>
          <w:p w14:paraId="7B50CC67" w14:textId="461EA307" w:rsidR="00C77B5D" w:rsidRPr="000230D7" w:rsidRDefault="00C60A71" w:rsidP="005413BC">
            <w:pPr>
              <w:pStyle w:val="Copytext11Pt"/>
              <w:spacing w:after="120"/>
              <w:rPr>
                <w:sz w:val="22"/>
                <w:szCs w:val="22"/>
              </w:rPr>
            </w:pPr>
            <w:r w:rsidRPr="000230D7">
              <w:t>3.</w:t>
            </w:r>
            <w:r w:rsidR="000230D7">
              <w:t>9 y</w:t>
            </w:r>
            <w:r w:rsidR="000230D7" w:rsidRPr="000230D7">
              <w:rPr>
                <w:vertAlign w:val="superscript"/>
              </w:rPr>
              <w:t>3</w:t>
            </w:r>
          </w:p>
        </w:tc>
      </w:tr>
      <w:tr w:rsidR="00A20146" w:rsidRPr="00605777" w14:paraId="30DAC447" w14:textId="77777777" w:rsidTr="000E3882">
        <w:tc>
          <w:tcPr>
            <w:tcW w:w="2548" w:type="dxa"/>
          </w:tcPr>
          <w:p w14:paraId="595B4BF4" w14:textId="77777777" w:rsidR="00932822" w:rsidRPr="000230D7" w:rsidRDefault="00932822" w:rsidP="005413BC">
            <w:pPr>
              <w:pStyle w:val="Copytext11Pt"/>
              <w:spacing w:after="120"/>
              <w:rPr>
                <w:sz w:val="22"/>
                <w:szCs w:val="22"/>
              </w:rPr>
            </w:pPr>
            <w:r w:rsidRPr="000230D7">
              <w:t xml:space="preserve">Operating </w:t>
            </w:r>
            <w:r w:rsidR="00A2757F" w:rsidRPr="000230D7">
              <w:t>weight</w:t>
            </w:r>
            <w:r w:rsidRPr="000230D7">
              <w:t>:</w:t>
            </w:r>
          </w:p>
        </w:tc>
        <w:tc>
          <w:tcPr>
            <w:tcW w:w="2548" w:type="dxa"/>
          </w:tcPr>
          <w:p w14:paraId="1E7DBBB1" w14:textId="405C37B4" w:rsidR="00932822" w:rsidRPr="000230D7" w:rsidRDefault="000230D7" w:rsidP="007C2B7C">
            <w:pPr>
              <w:pStyle w:val="Copytext11Pt"/>
              <w:spacing w:after="120"/>
              <w:rPr>
                <w:sz w:val="22"/>
                <w:szCs w:val="22"/>
              </w:rPr>
            </w:pPr>
            <w:r>
              <w:t>29,035 lbs.</w:t>
            </w:r>
          </w:p>
        </w:tc>
        <w:tc>
          <w:tcPr>
            <w:tcW w:w="2549" w:type="dxa"/>
          </w:tcPr>
          <w:p w14:paraId="589625EE" w14:textId="12D24433" w:rsidR="00932822" w:rsidRPr="000230D7" w:rsidRDefault="000230D7" w:rsidP="00C60A71">
            <w:pPr>
              <w:pStyle w:val="Copytext11Pt"/>
              <w:spacing w:after="120"/>
              <w:rPr>
                <w:sz w:val="22"/>
                <w:szCs w:val="22"/>
              </w:rPr>
            </w:pPr>
            <w:r>
              <w:t>32,010 lbs.</w:t>
            </w:r>
          </w:p>
        </w:tc>
        <w:tc>
          <w:tcPr>
            <w:tcW w:w="2549" w:type="dxa"/>
          </w:tcPr>
          <w:p w14:paraId="1339F0E2" w14:textId="0FF53977" w:rsidR="00932822" w:rsidRPr="000230D7" w:rsidRDefault="000230D7" w:rsidP="00C60A71">
            <w:pPr>
              <w:pStyle w:val="Copytext11Pt"/>
              <w:spacing w:after="120"/>
              <w:rPr>
                <w:sz w:val="22"/>
                <w:szCs w:val="22"/>
              </w:rPr>
            </w:pPr>
            <w:r>
              <w:t>33,975 lbs.</w:t>
            </w:r>
          </w:p>
        </w:tc>
      </w:tr>
      <w:tr w:rsidR="00A20146" w:rsidRPr="00A20146" w14:paraId="130343A8" w14:textId="77777777" w:rsidTr="000E3882">
        <w:tc>
          <w:tcPr>
            <w:tcW w:w="2548" w:type="dxa"/>
          </w:tcPr>
          <w:p w14:paraId="53A897C8" w14:textId="77777777" w:rsidR="00932822" w:rsidRPr="000230D7" w:rsidRDefault="00932822" w:rsidP="005413BC">
            <w:pPr>
              <w:pStyle w:val="Copytext11Pt"/>
              <w:spacing w:after="120"/>
              <w:rPr>
                <w:sz w:val="22"/>
                <w:szCs w:val="22"/>
              </w:rPr>
            </w:pPr>
            <w:r w:rsidRPr="000230D7">
              <w:t>Engine power:</w:t>
            </w:r>
          </w:p>
        </w:tc>
        <w:tc>
          <w:tcPr>
            <w:tcW w:w="2548" w:type="dxa"/>
          </w:tcPr>
          <w:p w14:paraId="05D3B225" w14:textId="6216B5B8" w:rsidR="00932822" w:rsidRPr="000230D7" w:rsidRDefault="007C2B7C" w:rsidP="007C2B7C">
            <w:pPr>
              <w:pStyle w:val="Copytext11Pt"/>
              <w:spacing w:after="120"/>
              <w:rPr>
                <w:sz w:val="22"/>
                <w:szCs w:val="22"/>
              </w:rPr>
            </w:pPr>
            <w:r w:rsidRPr="000230D7">
              <w:t>116 kW / 15</w:t>
            </w:r>
            <w:r w:rsidR="000230D7">
              <w:t>6</w:t>
            </w:r>
          </w:p>
        </w:tc>
        <w:tc>
          <w:tcPr>
            <w:tcW w:w="2549" w:type="dxa"/>
          </w:tcPr>
          <w:p w14:paraId="2565EACB" w14:textId="3664C046" w:rsidR="00932822" w:rsidRPr="000230D7" w:rsidRDefault="00C60A71" w:rsidP="00C60A71">
            <w:pPr>
              <w:pStyle w:val="Copytext11Pt"/>
              <w:spacing w:after="120"/>
              <w:rPr>
                <w:sz w:val="22"/>
                <w:szCs w:val="22"/>
              </w:rPr>
            </w:pPr>
            <w:r w:rsidRPr="000230D7">
              <w:t>129 kW / </w:t>
            </w:r>
            <w:r w:rsidR="000230D7">
              <w:t>173</w:t>
            </w:r>
          </w:p>
        </w:tc>
        <w:tc>
          <w:tcPr>
            <w:tcW w:w="2549" w:type="dxa"/>
          </w:tcPr>
          <w:p w14:paraId="51ED2DCF" w14:textId="2659E94D" w:rsidR="00932822" w:rsidRPr="00A20146" w:rsidRDefault="00C60A71" w:rsidP="00C60A71">
            <w:pPr>
              <w:pStyle w:val="Copytext11Pt"/>
              <w:spacing w:after="120"/>
              <w:rPr>
                <w:sz w:val="22"/>
                <w:szCs w:val="22"/>
              </w:rPr>
            </w:pPr>
            <w:r w:rsidRPr="000230D7">
              <w:t>138 kW / </w:t>
            </w:r>
            <w:r w:rsidR="000230D7">
              <w:t>185</w:t>
            </w:r>
          </w:p>
        </w:tc>
      </w:tr>
    </w:tbl>
    <w:p w14:paraId="25843367" w14:textId="169542B3" w:rsidR="000B0957" w:rsidRDefault="00C77B5D" w:rsidP="00A20146">
      <w:pPr>
        <w:pStyle w:val="Copytext11Pt"/>
      </w:pPr>
      <w:r w:rsidRPr="00A20146">
        <w:t xml:space="preserve">All specifications refer to the standard version. All </w:t>
      </w:r>
      <w:r w:rsidR="000F08B2" w:rsidRPr="00A20146">
        <w:t>three-wheel</w:t>
      </w:r>
      <w:r w:rsidRPr="00A20146">
        <w:t xml:space="preserve"> loaders meet the </w:t>
      </w:r>
      <w:r w:rsidR="001438F4" w:rsidRPr="00A20146">
        <w:t>currently applicable</w:t>
      </w:r>
      <w:r w:rsidRPr="00A20146">
        <w:t xml:space="preserve"> emission standards of emission stage V or Tier 4</w:t>
      </w:r>
      <w:r w:rsidR="00A2757F" w:rsidRPr="00A20146">
        <w:t xml:space="preserve"> </w:t>
      </w:r>
      <w:r w:rsidRPr="00A20146">
        <w:t>f</w:t>
      </w:r>
      <w:r w:rsidR="00A2757F" w:rsidRPr="00A20146">
        <w:t>inal</w:t>
      </w:r>
      <w:r w:rsidRPr="00A20146">
        <w:t>.</w:t>
      </w:r>
    </w:p>
    <w:p w14:paraId="61B35786" w14:textId="77777777" w:rsidR="00001502" w:rsidRPr="006D634E" w:rsidRDefault="00001502" w:rsidP="00001502">
      <w:pPr>
        <w:pStyle w:val="BoilerplateCopyhead9Pt"/>
      </w:pPr>
      <w:r w:rsidRPr="006D634E">
        <w:t>About Liebherr USA, Co.</w:t>
      </w:r>
    </w:p>
    <w:p w14:paraId="20588C14" w14:textId="4CC63D13" w:rsidR="00001502" w:rsidRPr="000B0957" w:rsidRDefault="001438F4" w:rsidP="000B0957">
      <w:pPr>
        <w:pStyle w:val="BoilerplateCopytext9Pt"/>
      </w:pPr>
      <w:hyperlink r:id="rId12" w:history="1">
        <w:r w:rsidR="00001502" w:rsidRPr="006D634E">
          <w:rPr>
            <w:rStyle w:val="Hyperlink"/>
            <w:rFonts w:cs="Arial"/>
            <w:shd w:val="clear" w:color="auto" w:fill="FFFFFF"/>
          </w:rPr>
          <w:t>Liebherr USA, Co</w:t>
        </w:r>
      </w:hyperlink>
      <w:r w:rsidR="00001502" w:rsidRPr="006D634E">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001502" w:rsidRPr="006D634E">
        <w:t>.</w:t>
      </w:r>
    </w:p>
    <w:p w14:paraId="69D30BC7" w14:textId="539899FE" w:rsidR="009A3D17" w:rsidRPr="00271928" w:rsidRDefault="009A3D17" w:rsidP="009A3D17">
      <w:pPr>
        <w:pStyle w:val="BoilerplateCopyhead9Pt"/>
        <w:rPr>
          <w:lang w:val="en-US"/>
        </w:rPr>
      </w:pPr>
      <w:r w:rsidRPr="00271928">
        <w:rPr>
          <w:lang w:val="en-US"/>
        </w:rPr>
        <w:t xml:space="preserve">About Liebherr-Werk </w:t>
      </w:r>
      <w:proofErr w:type="spellStart"/>
      <w:r w:rsidRPr="00271928">
        <w:rPr>
          <w:lang w:val="en-US"/>
        </w:rPr>
        <w:t>Bischofshofen</w:t>
      </w:r>
      <w:proofErr w:type="spellEnd"/>
      <w:r w:rsidRPr="00271928">
        <w:rPr>
          <w:lang w:val="en-US"/>
        </w:rPr>
        <w:t xml:space="preserve"> GmbH</w:t>
      </w:r>
    </w:p>
    <w:p w14:paraId="6077B339" w14:textId="0905A16E" w:rsidR="009A3D17" w:rsidRPr="00E34E2A" w:rsidRDefault="00C77B5D" w:rsidP="009A3D17">
      <w:pPr>
        <w:pStyle w:val="BoilerplateCopytext9Pt"/>
      </w:pPr>
      <w:r>
        <w:t xml:space="preserve">Liebherr-Werk </w:t>
      </w:r>
      <w:proofErr w:type="spellStart"/>
      <w:r>
        <w:t>Bischofshofen</w:t>
      </w:r>
      <w:proofErr w:type="spellEnd"/>
      <w:r>
        <w:t xml:space="preserve"> GmbH develops, </w:t>
      </w:r>
      <w:r w:rsidR="000F08B2">
        <w:t>produces,</w:t>
      </w:r>
      <w:r>
        <w:t xml:space="preserve"> and sells wheel loaders from the Liebherr Group. The plant in the state of </w:t>
      </w:r>
      <w:proofErr w:type="spellStart"/>
      <w:r>
        <w:t>Salzburger</w:t>
      </w:r>
      <w:proofErr w:type="spellEnd"/>
      <w:r>
        <w:t xml:space="preserve"> Land (Austria) has grown steadily over the decades thanks to sustainable innovations, creative </w:t>
      </w:r>
      <w:proofErr w:type="gramStart"/>
      <w:r>
        <w:t>solutions</w:t>
      </w:r>
      <w:proofErr w:type="gramEnd"/>
      <w:r>
        <w:t xml:space="preserve"> and </w:t>
      </w:r>
      <w:r w:rsidR="000F08B2">
        <w:t>high-quality</w:t>
      </w:r>
      <w:r>
        <w:t xml:space="preserve"> standards. The wheel loader range is constantly being expanded and includes different models in four different product groups: compact, stereo, </w:t>
      </w:r>
      <w:r w:rsidR="00A2757F" w:rsidRPr="00A20146">
        <w:t xml:space="preserve">mid-sized, </w:t>
      </w:r>
      <w:r>
        <w:t>and large wheel loaders, which have impressive, innovative drive designs.</w:t>
      </w:r>
    </w:p>
    <w:p w14:paraId="6B237B0E" w14:textId="77777777" w:rsidR="009A3D17" w:rsidRPr="00E34E2A" w:rsidRDefault="009A3D17" w:rsidP="009A3D17">
      <w:pPr>
        <w:pStyle w:val="BoilerplateCopyhead9Pt"/>
      </w:pPr>
      <w:r>
        <w:t>About the Liebherr Group</w:t>
      </w:r>
    </w:p>
    <w:p w14:paraId="4B34B0C3" w14:textId="7A9D2105" w:rsidR="00271928" w:rsidRPr="000C6438" w:rsidRDefault="00271928" w:rsidP="00271928">
      <w:pPr>
        <w:pStyle w:val="BoilerplateCopytext9Pt"/>
        <w:rPr>
          <w:sz w:val="22"/>
          <w:szCs w:val="22"/>
        </w:rPr>
      </w:pPr>
      <w:r w:rsidRPr="00D853E5">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D853E5">
        <w:t>Kirchdorf</w:t>
      </w:r>
      <w:proofErr w:type="spellEnd"/>
      <w:r w:rsidRPr="00D853E5">
        <w:t xml:space="preserve"> an der Iller in Southern Germany in 1949. Since then, the employees have been pursuing the goal of achieving continuous technological </w:t>
      </w:r>
      <w:r w:rsidR="000F08B2" w:rsidRPr="00D853E5">
        <w:t>innovation and</w:t>
      </w:r>
      <w:r w:rsidRPr="00D853E5">
        <w:t xml:space="preserve"> bringing industry-leading solutions to its customers.</w:t>
      </w:r>
    </w:p>
    <w:p w14:paraId="3F6DF93D" w14:textId="77777777" w:rsidR="00150AC4" w:rsidRPr="00271928" w:rsidRDefault="00150AC4" w:rsidP="009A3D17">
      <w:pPr>
        <w:pStyle w:val="Copyhead11Pt"/>
      </w:pPr>
    </w:p>
    <w:p w14:paraId="78FF6F2D" w14:textId="77777777" w:rsidR="009A3D17" w:rsidRPr="001326EA" w:rsidRDefault="009A3D17" w:rsidP="009A3D17">
      <w:pPr>
        <w:pStyle w:val="Copyhead11Pt"/>
      </w:pPr>
      <w:r>
        <w:t>Images</w:t>
      </w:r>
    </w:p>
    <w:p w14:paraId="7A58FF44" w14:textId="77777777" w:rsidR="007C2B7C" w:rsidRPr="001326EA" w:rsidRDefault="001326EA" w:rsidP="009A3D17">
      <w:pPr>
        <w:rPr>
          <w:highlight w:val="magenta"/>
        </w:rPr>
      </w:pPr>
      <w:r>
        <w:rPr>
          <w:noProof/>
          <w:lang w:val="de-DE" w:eastAsia="de-DE"/>
        </w:rPr>
        <w:drawing>
          <wp:inline distT="0" distB="0" distL="0" distR="0" wp14:anchorId="0463CF2E" wp14:editId="040FC439">
            <wp:extent cx="2696301" cy="180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new-mid-sized-wheel-loaders-overview-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4345BF86" w14:textId="77777777" w:rsidR="00FC09CC" w:rsidRPr="001326EA" w:rsidRDefault="001326EA" w:rsidP="00FC09CC">
      <w:pPr>
        <w:pStyle w:val="Caption9Pt"/>
      </w:pPr>
      <w:r>
        <w:t>liebherr-new-mid-sized-wheel-loaders-all-three-models.jpg</w:t>
      </w:r>
      <w:r>
        <w:br/>
        <w:t>Powerful and versatile: The new m</w:t>
      </w:r>
      <w:r w:rsidR="006F3518" w:rsidRPr="00A20146">
        <w:t>id</w:t>
      </w:r>
      <w:r>
        <w:t xml:space="preserve">-sized wheel loader series from Liebherr </w:t>
      </w:r>
      <w:r w:rsidR="006F3518" w:rsidRPr="00A20146">
        <w:t>feature</w:t>
      </w:r>
      <w:r>
        <w:t xml:space="preserve"> the L 526, L </w:t>
      </w:r>
      <w:proofErr w:type="gramStart"/>
      <w:r>
        <w:t>538</w:t>
      </w:r>
      <w:proofErr w:type="gramEnd"/>
      <w:r>
        <w:t xml:space="preserve"> and L 546 models.</w:t>
      </w:r>
    </w:p>
    <w:p w14:paraId="65D16034" w14:textId="77777777" w:rsidR="00E34E2A" w:rsidRPr="001326EA" w:rsidRDefault="00E34E2A" w:rsidP="005413BC">
      <w:pPr>
        <w:rPr>
          <w:highlight w:val="magenta"/>
        </w:rPr>
      </w:pPr>
    </w:p>
    <w:p w14:paraId="2C6493A4" w14:textId="77777777" w:rsidR="007C2B7C" w:rsidRPr="00E34E2A" w:rsidRDefault="001326EA" w:rsidP="005413BC">
      <w:pPr>
        <w:rPr>
          <w:highlight w:val="magenta"/>
        </w:rPr>
      </w:pPr>
      <w:r>
        <w:rPr>
          <w:noProof/>
          <w:lang w:val="de-DE" w:eastAsia="de-DE"/>
        </w:rPr>
        <w:drawing>
          <wp:inline distT="0" distB="0" distL="0" distR="0" wp14:anchorId="6BE76E22" wp14:editId="28790DBB">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new-mid-sized-wheel-loader-l526-quarry-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2980D1DF" w14:textId="77777777" w:rsidR="001326EA" w:rsidRPr="00760BC1" w:rsidRDefault="001326EA" w:rsidP="001326EA">
      <w:pPr>
        <w:pStyle w:val="Caption9Pt"/>
      </w:pPr>
      <w:r>
        <w:t>liebherr-new-mid-sized-wheel-loader-l526-quarry.jpg</w:t>
      </w:r>
      <w:r>
        <w:br/>
        <w:t xml:space="preserve">More engine power, higher breakout forces: </w:t>
      </w:r>
      <w:r w:rsidR="006F3518" w:rsidRPr="00A20146">
        <w:t>the</w:t>
      </w:r>
      <w:r w:rsidRPr="00A20146">
        <w:t xml:space="preserve"> </w:t>
      </w:r>
      <w:r>
        <w:t>new Liebherr L </w:t>
      </w:r>
      <w:proofErr w:type="gramStart"/>
      <w:r>
        <w:t>526 wheel</w:t>
      </w:r>
      <w:proofErr w:type="gramEnd"/>
      <w:r>
        <w:t xml:space="preserve"> loader loading a truck.</w:t>
      </w:r>
    </w:p>
    <w:p w14:paraId="4E0022F1" w14:textId="77777777" w:rsidR="00FC09CC" w:rsidRPr="00760BC1" w:rsidRDefault="00FC09CC" w:rsidP="00FC09CC">
      <w:pPr>
        <w:pStyle w:val="Caption9Pt"/>
      </w:pPr>
    </w:p>
    <w:p w14:paraId="7649439A" w14:textId="77777777" w:rsidR="007C2B7C" w:rsidRPr="00E34E2A" w:rsidRDefault="001326EA" w:rsidP="009A3D17">
      <w:r>
        <w:rPr>
          <w:noProof/>
          <w:lang w:val="de-DE" w:eastAsia="de-DE"/>
        </w:rPr>
        <w:drawing>
          <wp:inline distT="0" distB="0" distL="0" distR="0" wp14:anchorId="471090AE" wp14:editId="618B4391">
            <wp:extent cx="2701853" cy="180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new-mid-sized-wheel-loader-l546-recycling-96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73B352CB" w14:textId="77777777" w:rsidR="007D7466" w:rsidRDefault="001326EA" w:rsidP="009A3D17">
      <w:pPr>
        <w:pStyle w:val="Caption9Pt"/>
      </w:pPr>
      <w:r>
        <w:t>liebherr-new-mid-sized-wheel-loader-l546-recycling.jpg</w:t>
      </w:r>
      <w:r>
        <w:br/>
        <w:t>High performance in use: A new Liebherr L </w:t>
      </w:r>
      <w:proofErr w:type="gramStart"/>
      <w:r>
        <w:t>546 wheel</w:t>
      </w:r>
      <w:proofErr w:type="gramEnd"/>
      <w:r>
        <w:t xml:space="preserve"> loader loads bulky and heavy </w:t>
      </w:r>
      <w:r w:rsidR="00A20146" w:rsidRPr="00A20146">
        <w:t>materials</w:t>
      </w:r>
      <w:r w:rsidRPr="00A20146">
        <w:t xml:space="preserve"> </w:t>
      </w:r>
      <w:r>
        <w:t>in recycling.</w:t>
      </w:r>
    </w:p>
    <w:p w14:paraId="417C2CA8" w14:textId="77777777" w:rsidR="00E34E2A" w:rsidRPr="00760BC1" w:rsidRDefault="00E34E2A" w:rsidP="009A3D17">
      <w:pPr>
        <w:pStyle w:val="Caption9Pt"/>
        <w:rPr>
          <w:highlight w:val="magenta"/>
        </w:rPr>
      </w:pPr>
    </w:p>
    <w:p w14:paraId="53CA0D0F" w14:textId="77777777" w:rsidR="007C2B7C" w:rsidRPr="00E34E2A" w:rsidRDefault="001326EA" w:rsidP="009A3D17">
      <w:pPr>
        <w:pStyle w:val="Caption9Pt"/>
        <w:rPr>
          <w:highlight w:val="magenta"/>
        </w:rPr>
      </w:pPr>
      <w:r>
        <w:rPr>
          <w:noProof/>
          <w:lang w:val="de-DE" w:eastAsia="de-DE"/>
        </w:rPr>
        <w:drawing>
          <wp:inline distT="0" distB="0" distL="0" distR="0" wp14:anchorId="36AC0225" wp14:editId="7FDB1191">
            <wp:extent cx="2696301" cy="18000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new-mid-sized-wheel-loader-l546-timber-96dp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0963E519" w14:textId="77777777" w:rsidR="00FC09CC" w:rsidRPr="00A20146" w:rsidRDefault="001326EA" w:rsidP="00FC09CC">
      <w:pPr>
        <w:pStyle w:val="Caption9Pt"/>
      </w:pPr>
      <w:r>
        <w:t>liebherr-new-mid-sized-wheel-loader-l546-timber.jpg</w:t>
      </w:r>
      <w:r>
        <w:br/>
        <w:t>New lift arms with high performance: The new Liebherr L </w:t>
      </w:r>
      <w:proofErr w:type="gramStart"/>
      <w:r>
        <w:t>546 wheel</w:t>
      </w:r>
      <w:proofErr w:type="gramEnd"/>
      <w:r>
        <w:t xml:space="preserve"> loader transports logs with a </w:t>
      </w:r>
      <w:r w:rsidRPr="00A20146">
        <w:t xml:space="preserve">log </w:t>
      </w:r>
      <w:r w:rsidR="006F3518" w:rsidRPr="00A20146">
        <w:t>grapple</w:t>
      </w:r>
      <w:r w:rsidRPr="00A20146">
        <w:t>.</w:t>
      </w:r>
    </w:p>
    <w:p w14:paraId="5DB51D88" w14:textId="77777777" w:rsidR="00271928" w:rsidRPr="0031364A" w:rsidRDefault="00271928" w:rsidP="0031364A">
      <w:pPr>
        <w:pStyle w:val="Copyhead11Pt"/>
      </w:pPr>
    </w:p>
    <w:p w14:paraId="083AC9F2" w14:textId="77777777" w:rsidR="009A3D17" w:rsidRPr="00E34E2A" w:rsidRDefault="00D63B50" w:rsidP="009A3D17">
      <w:pPr>
        <w:pStyle w:val="Copyhead11Pt"/>
      </w:pPr>
      <w:r>
        <w:t>Contact</w:t>
      </w:r>
    </w:p>
    <w:p w14:paraId="6AF918C6" w14:textId="77777777" w:rsidR="00001502" w:rsidRDefault="00001502" w:rsidP="00001502">
      <w:pPr>
        <w:pStyle w:val="Copytext11Pt"/>
        <w:spacing w:after="0"/>
      </w:pPr>
      <w:r w:rsidRPr="00313F01">
        <w:t xml:space="preserve">Ana </w:t>
      </w:r>
      <w:proofErr w:type="spellStart"/>
      <w:r w:rsidRPr="00313F01">
        <w:t>Cabiedes</w:t>
      </w:r>
      <w:proofErr w:type="spellEnd"/>
      <w:r w:rsidRPr="00313F01">
        <w:t xml:space="preserve"> </w:t>
      </w:r>
      <w:r w:rsidRPr="00313F01">
        <w:br/>
        <w:t xml:space="preserve">Head of Marketing </w:t>
      </w:r>
    </w:p>
    <w:p w14:paraId="7A7DA6AB" w14:textId="73DCF5EB" w:rsidR="00001502" w:rsidRPr="000B0957" w:rsidRDefault="00001502" w:rsidP="009A3D17">
      <w:pPr>
        <w:pStyle w:val="Copytext11Pt"/>
        <w:rPr>
          <w:lang w:val="es-MX"/>
        </w:rPr>
      </w:pPr>
      <w:r w:rsidRPr="001E7F14">
        <w:rPr>
          <w:lang w:val="es-MX"/>
        </w:rPr>
        <w:t>Liebherr USA, Co</w:t>
      </w:r>
      <w:r w:rsidRPr="001E7F14">
        <w:rPr>
          <w:lang w:val="es-MX"/>
        </w:rPr>
        <w:br/>
        <w:t>E-Mail: ana.cabiedes@liebherr.com</w:t>
      </w:r>
    </w:p>
    <w:p w14:paraId="5261ECBB" w14:textId="7C8AF8F4" w:rsidR="009A3D17" w:rsidRPr="00C77B5D" w:rsidRDefault="00C77B5D" w:rsidP="009A3D17">
      <w:pPr>
        <w:pStyle w:val="Copytext11Pt"/>
      </w:pPr>
      <w:r>
        <w:t>Martin Koller</w:t>
      </w:r>
      <w:r>
        <w:br/>
        <w:t>Marketing and Public Relations</w:t>
      </w:r>
      <w:r>
        <w:br/>
        <w:t>Phone: +</w:t>
      </w:r>
      <w:r>
        <w:rPr>
          <w:color w:val="000000" w:themeColor="text1"/>
        </w:rPr>
        <w:t>43 50809 11475</w:t>
      </w:r>
      <w:r>
        <w:br/>
        <w:t>E-mail: martin.koller.lbh@liebherr.com</w:t>
      </w:r>
    </w:p>
    <w:p w14:paraId="11C39508" w14:textId="77777777" w:rsidR="009A3D17" w:rsidRPr="00C77B5D" w:rsidRDefault="009A3D17" w:rsidP="009A3D17">
      <w:pPr>
        <w:pStyle w:val="Copyhead11Pt"/>
      </w:pPr>
      <w:r>
        <w:t>Published by</w:t>
      </w:r>
    </w:p>
    <w:p w14:paraId="1739183E" w14:textId="77777777" w:rsidR="00B81ED6" w:rsidRPr="00C77B5D" w:rsidRDefault="00C77B5D" w:rsidP="009A3D17">
      <w:pPr>
        <w:pStyle w:val="Copytext11Pt"/>
      </w:pPr>
      <w:r>
        <w:t xml:space="preserve">Liebherr-Werk </w:t>
      </w:r>
      <w:proofErr w:type="spellStart"/>
      <w:r>
        <w:t>Bischofshofen</w:t>
      </w:r>
      <w:proofErr w:type="spellEnd"/>
      <w:r>
        <w:t xml:space="preserve"> GmbH</w:t>
      </w:r>
      <w:r>
        <w:br/>
      </w:r>
      <w:proofErr w:type="spellStart"/>
      <w:r>
        <w:t>Bischofshofen</w:t>
      </w:r>
      <w:proofErr w:type="spellEnd"/>
      <w:r>
        <w:t>/Austria</w:t>
      </w:r>
      <w:r>
        <w:br/>
        <w:t>www.liebherr.com</w:t>
      </w:r>
    </w:p>
    <w:sectPr w:rsidR="00B81ED6" w:rsidRPr="00C77B5D"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86A7" w14:textId="77777777" w:rsidR="00D944C3" w:rsidRDefault="00D944C3" w:rsidP="00B81ED6">
      <w:pPr>
        <w:spacing w:after="0" w:line="240" w:lineRule="auto"/>
      </w:pPr>
      <w:r>
        <w:separator/>
      </w:r>
    </w:p>
  </w:endnote>
  <w:endnote w:type="continuationSeparator" w:id="0">
    <w:p w14:paraId="7ACA71F4" w14:textId="77777777" w:rsidR="00D944C3" w:rsidRDefault="00D944C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E441" w14:textId="0DAE8D7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230D7">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230D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230D7">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Pr="0093605C">
      <w:rPr>
        <w:rFonts w:ascii="Arial" w:hAnsi="Arial" w:cs="Arial"/>
      </w:rPr>
      <w:fldChar w:fldCharType="separate"/>
    </w:r>
    <w:r w:rsidR="000230D7">
      <w:rPr>
        <w:rFonts w:ascii="Arial" w:hAnsi="Arial" w:cs="Arial"/>
        <w:noProof/>
      </w:rPr>
      <w:t>4</w:t>
    </w:r>
    <w:r w:rsidR="000230D7" w:rsidRPr="0093605C">
      <w:rPr>
        <w:rFonts w:ascii="Arial" w:hAnsi="Arial" w:cs="Arial"/>
        <w:noProof/>
      </w:rPr>
      <w:t>/</w:t>
    </w:r>
    <w:r w:rsidR="000230D7">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F5D0" w14:textId="77777777" w:rsidR="00D944C3" w:rsidRDefault="00D944C3" w:rsidP="00B81ED6">
      <w:pPr>
        <w:spacing w:after="0" w:line="240" w:lineRule="auto"/>
      </w:pPr>
      <w:r>
        <w:separator/>
      </w:r>
    </w:p>
  </w:footnote>
  <w:footnote w:type="continuationSeparator" w:id="0">
    <w:p w14:paraId="0CD28D27" w14:textId="77777777" w:rsidR="00D944C3" w:rsidRDefault="00D944C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46A6" w14:textId="77777777" w:rsidR="00E847CC" w:rsidRDefault="00E847CC">
    <w:pPr>
      <w:pStyle w:val="Header"/>
    </w:pPr>
    <w:r>
      <w:tab/>
    </w:r>
    <w:r>
      <w:tab/>
    </w:r>
    <w:r>
      <w:ptab w:relativeTo="margin" w:alignment="right" w:leader="none"/>
    </w:r>
    <w:r>
      <w:rPr>
        <w:noProof/>
        <w:lang w:val="de-DE" w:eastAsia="de-DE"/>
      </w:rPr>
      <w:drawing>
        <wp:inline distT="0" distB="0" distL="0" distR="0" wp14:anchorId="14BBC80D" wp14:editId="02F663C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CE90D3E"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43679171">
    <w:abstractNumId w:val="0"/>
  </w:num>
  <w:num w:numId="2" w16cid:durableId="1693339323">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0744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02"/>
    <w:rsid w:val="0002020E"/>
    <w:rsid w:val="000230D7"/>
    <w:rsid w:val="00033002"/>
    <w:rsid w:val="00057830"/>
    <w:rsid w:val="00066E54"/>
    <w:rsid w:val="00083152"/>
    <w:rsid w:val="000855F5"/>
    <w:rsid w:val="000A1BB2"/>
    <w:rsid w:val="000A43AD"/>
    <w:rsid w:val="000B0957"/>
    <w:rsid w:val="000E2147"/>
    <w:rsid w:val="000E3882"/>
    <w:rsid w:val="000E7F79"/>
    <w:rsid w:val="000F08B2"/>
    <w:rsid w:val="000F614B"/>
    <w:rsid w:val="000F681A"/>
    <w:rsid w:val="001326EA"/>
    <w:rsid w:val="001331C3"/>
    <w:rsid w:val="001419B4"/>
    <w:rsid w:val="001438F4"/>
    <w:rsid w:val="00145DB7"/>
    <w:rsid w:val="00150AC4"/>
    <w:rsid w:val="0015467C"/>
    <w:rsid w:val="00175269"/>
    <w:rsid w:val="001950FD"/>
    <w:rsid w:val="001A1AD7"/>
    <w:rsid w:val="001B2167"/>
    <w:rsid w:val="001B2B6D"/>
    <w:rsid w:val="001C2D65"/>
    <w:rsid w:val="001C7730"/>
    <w:rsid w:val="001E418A"/>
    <w:rsid w:val="00215FB6"/>
    <w:rsid w:val="002162AE"/>
    <w:rsid w:val="00227571"/>
    <w:rsid w:val="0025509A"/>
    <w:rsid w:val="002704D4"/>
    <w:rsid w:val="00271928"/>
    <w:rsid w:val="002959BB"/>
    <w:rsid w:val="002B515B"/>
    <w:rsid w:val="002C0EFA"/>
    <w:rsid w:val="002C3DD1"/>
    <w:rsid w:val="002D1B35"/>
    <w:rsid w:val="002D1DB3"/>
    <w:rsid w:val="002D2ADA"/>
    <w:rsid w:val="002D48B0"/>
    <w:rsid w:val="002D66AD"/>
    <w:rsid w:val="002E3D71"/>
    <w:rsid w:val="002F239E"/>
    <w:rsid w:val="002F7BA1"/>
    <w:rsid w:val="0031364A"/>
    <w:rsid w:val="00327624"/>
    <w:rsid w:val="00327E9A"/>
    <w:rsid w:val="003446FA"/>
    <w:rsid w:val="003524D2"/>
    <w:rsid w:val="003604C8"/>
    <w:rsid w:val="00382CE0"/>
    <w:rsid w:val="003936A6"/>
    <w:rsid w:val="003D24FA"/>
    <w:rsid w:val="003E31D4"/>
    <w:rsid w:val="003E63FB"/>
    <w:rsid w:val="00404134"/>
    <w:rsid w:val="00416EDE"/>
    <w:rsid w:val="0042213D"/>
    <w:rsid w:val="0042442A"/>
    <w:rsid w:val="00425A7F"/>
    <w:rsid w:val="004875AA"/>
    <w:rsid w:val="00491D87"/>
    <w:rsid w:val="004B2EE1"/>
    <w:rsid w:val="004B43EE"/>
    <w:rsid w:val="004F342E"/>
    <w:rsid w:val="00523E4F"/>
    <w:rsid w:val="005413BC"/>
    <w:rsid w:val="00552277"/>
    <w:rsid w:val="00556698"/>
    <w:rsid w:val="00566C4D"/>
    <w:rsid w:val="005A7295"/>
    <w:rsid w:val="005B5FD9"/>
    <w:rsid w:val="005C554D"/>
    <w:rsid w:val="005D1CDA"/>
    <w:rsid w:val="00605777"/>
    <w:rsid w:val="00610FEF"/>
    <w:rsid w:val="00621D09"/>
    <w:rsid w:val="00634CA4"/>
    <w:rsid w:val="00642ECF"/>
    <w:rsid w:val="0065018F"/>
    <w:rsid w:val="00652E53"/>
    <w:rsid w:val="00676F59"/>
    <w:rsid w:val="00686415"/>
    <w:rsid w:val="00693C75"/>
    <w:rsid w:val="00695368"/>
    <w:rsid w:val="006A717B"/>
    <w:rsid w:val="006B114F"/>
    <w:rsid w:val="006B50CD"/>
    <w:rsid w:val="006D13D6"/>
    <w:rsid w:val="006F1BF4"/>
    <w:rsid w:val="006F3518"/>
    <w:rsid w:val="00721684"/>
    <w:rsid w:val="00737007"/>
    <w:rsid w:val="00747169"/>
    <w:rsid w:val="00760BC1"/>
    <w:rsid w:val="00761197"/>
    <w:rsid w:val="00772AE9"/>
    <w:rsid w:val="007C2B7C"/>
    <w:rsid w:val="007C2DD9"/>
    <w:rsid w:val="007D7466"/>
    <w:rsid w:val="007E3EF6"/>
    <w:rsid w:val="007E4B12"/>
    <w:rsid w:val="007F2586"/>
    <w:rsid w:val="00824226"/>
    <w:rsid w:val="00846D0C"/>
    <w:rsid w:val="00847DF8"/>
    <w:rsid w:val="00857B6F"/>
    <w:rsid w:val="008B671C"/>
    <w:rsid w:val="008E225B"/>
    <w:rsid w:val="008E6962"/>
    <w:rsid w:val="00904914"/>
    <w:rsid w:val="00913497"/>
    <w:rsid w:val="009169F9"/>
    <w:rsid w:val="00932822"/>
    <w:rsid w:val="00935599"/>
    <w:rsid w:val="00935FE2"/>
    <w:rsid w:val="0093605C"/>
    <w:rsid w:val="00940F18"/>
    <w:rsid w:val="00954105"/>
    <w:rsid w:val="00960D0F"/>
    <w:rsid w:val="00962B81"/>
    <w:rsid w:val="00965077"/>
    <w:rsid w:val="009A3D17"/>
    <w:rsid w:val="009C0D64"/>
    <w:rsid w:val="009C20F0"/>
    <w:rsid w:val="009D3C6C"/>
    <w:rsid w:val="00A20146"/>
    <w:rsid w:val="00A263BA"/>
    <w:rsid w:val="00A2757F"/>
    <w:rsid w:val="00A32A45"/>
    <w:rsid w:val="00A605DB"/>
    <w:rsid w:val="00A63769"/>
    <w:rsid w:val="00A70F58"/>
    <w:rsid w:val="00A81DC9"/>
    <w:rsid w:val="00A84D84"/>
    <w:rsid w:val="00A91773"/>
    <w:rsid w:val="00AC2129"/>
    <w:rsid w:val="00AF1F99"/>
    <w:rsid w:val="00AF47B4"/>
    <w:rsid w:val="00AF6D5B"/>
    <w:rsid w:val="00B04663"/>
    <w:rsid w:val="00B24755"/>
    <w:rsid w:val="00B24F39"/>
    <w:rsid w:val="00B261FC"/>
    <w:rsid w:val="00B26C45"/>
    <w:rsid w:val="00B32612"/>
    <w:rsid w:val="00B50C85"/>
    <w:rsid w:val="00B5618F"/>
    <w:rsid w:val="00B8084D"/>
    <w:rsid w:val="00B81ED6"/>
    <w:rsid w:val="00BA4F59"/>
    <w:rsid w:val="00BB0BFF"/>
    <w:rsid w:val="00BC79A5"/>
    <w:rsid w:val="00BD7045"/>
    <w:rsid w:val="00BE3CD9"/>
    <w:rsid w:val="00BE69D9"/>
    <w:rsid w:val="00C15178"/>
    <w:rsid w:val="00C36B25"/>
    <w:rsid w:val="00C464EC"/>
    <w:rsid w:val="00C51902"/>
    <w:rsid w:val="00C60A71"/>
    <w:rsid w:val="00C65046"/>
    <w:rsid w:val="00C65AB2"/>
    <w:rsid w:val="00C74D90"/>
    <w:rsid w:val="00C77574"/>
    <w:rsid w:val="00C77B5D"/>
    <w:rsid w:val="00C80095"/>
    <w:rsid w:val="00C80DB6"/>
    <w:rsid w:val="00C844CE"/>
    <w:rsid w:val="00C92FD6"/>
    <w:rsid w:val="00C93B50"/>
    <w:rsid w:val="00CD2D08"/>
    <w:rsid w:val="00CF7092"/>
    <w:rsid w:val="00D11603"/>
    <w:rsid w:val="00D21E45"/>
    <w:rsid w:val="00D461BA"/>
    <w:rsid w:val="00D62423"/>
    <w:rsid w:val="00D63B50"/>
    <w:rsid w:val="00D72B20"/>
    <w:rsid w:val="00D7728A"/>
    <w:rsid w:val="00D814C9"/>
    <w:rsid w:val="00D9141A"/>
    <w:rsid w:val="00D944C3"/>
    <w:rsid w:val="00DA402F"/>
    <w:rsid w:val="00DC1373"/>
    <w:rsid w:val="00DD591F"/>
    <w:rsid w:val="00DE703D"/>
    <w:rsid w:val="00DF0ECE"/>
    <w:rsid w:val="00DF40C0"/>
    <w:rsid w:val="00DF5D39"/>
    <w:rsid w:val="00DF78F4"/>
    <w:rsid w:val="00E00199"/>
    <w:rsid w:val="00E109B0"/>
    <w:rsid w:val="00E10A30"/>
    <w:rsid w:val="00E260E6"/>
    <w:rsid w:val="00E32363"/>
    <w:rsid w:val="00E34E2A"/>
    <w:rsid w:val="00E366B1"/>
    <w:rsid w:val="00E569E4"/>
    <w:rsid w:val="00E67E1F"/>
    <w:rsid w:val="00E847CC"/>
    <w:rsid w:val="00E96EA0"/>
    <w:rsid w:val="00EA085C"/>
    <w:rsid w:val="00EA16E2"/>
    <w:rsid w:val="00EA26F3"/>
    <w:rsid w:val="00EC0CB4"/>
    <w:rsid w:val="00EE5F33"/>
    <w:rsid w:val="00F37D50"/>
    <w:rsid w:val="00F4448F"/>
    <w:rsid w:val="00F65583"/>
    <w:rsid w:val="00F779B4"/>
    <w:rsid w:val="00FA25AF"/>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7BA6E"/>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GB"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le"/>
    <w:next w:val="Normal"/>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GB" w:eastAsia="de-DE"/>
    </w:rPr>
  </w:style>
  <w:style w:type="character" w:customStyle="1" w:styleId="Teaser11PtZchn">
    <w:name w:val="Teaser 11Pt Zchn"/>
    <w:basedOn w:val="DefaultParagraphFon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Emphasis">
    <w:name w:val="Emphasis"/>
    <w:basedOn w:val="DefaultParagraphFont"/>
    <w:uiPriority w:val="20"/>
    <w:qFormat/>
    <w:rsid w:val="00057830"/>
    <w:rPr>
      <w:i/>
      <w:iCs/>
    </w:rPr>
  </w:style>
  <w:style w:type="paragraph" w:styleId="NormalWeb">
    <w:name w:val="Normal (Web)"/>
    <w:basedOn w:val="Normal"/>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rsid w:val="003D2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A"/>
    <w:rPr>
      <w:rFonts w:ascii="Segoe UI" w:hAnsi="Segoe UI" w:cs="Segoe UI"/>
      <w:sz w:val="18"/>
      <w:szCs w:val="18"/>
    </w:rPr>
  </w:style>
  <w:style w:type="paragraph" w:customStyle="1" w:styleId="Press5-Body">
    <w:name w:val="Press 5 - Body"/>
    <w:basedOn w:val="Normal"/>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CommentReference">
    <w:name w:val="annotation reference"/>
    <w:basedOn w:val="DefaultParagraphFont"/>
    <w:uiPriority w:val="99"/>
    <w:semiHidden/>
    <w:unhideWhenUsed/>
    <w:rsid w:val="00150AC4"/>
    <w:rPr>
      <w:sz w:val="16"/>
      <w:szCs w:val="16"/>
    </w:rPr>
  </w:style>
  <w:style w:type="paragraph" w:styleId="CommentText">
    <w:name w:val="annotation text"/>
    <w:basedOn w:val="Normal"/>
    <w:link w:val="CommentTextChar"/>
    <w:uiPriority w:val="99"/>
    <w:unhideWhenUsed/>
    <w:rsid w:val="00150AC4"/>
    <w:pPr>
      <w:spacing w:line="240" w:lineRule="auto"/>
    </w:pPr>
    <w:rPr>
      <w:sz w:val="20"/>
      <w:szCs w:val="20"/>
    </w:rPr>
  </w:style>
  <w:style w:type="character" w:customStyle="1" w:styleId="CommentTextChar">
    <w:name w:val="Comment Text Char"/>
    <w:basedOn w:val="DefaultParagraphFont"/>
    <w:link w:val="CommentText"/>
    <w:uiPriority w:val="99"/>
    <w:rsid w:val="00150AC4"/>
    <w:rPr>
      <w:sz w:val="20"/>
      <w:szCs w:val="20"/>
    </w:rPr>
  </w:style>
  <w:style w:type="paragraph" w:styleId="CommentSubject">
    <w:name w:val="annotation subject"/>
    <w:basedOn w:val="CommentText"/>
    <w:next w:val="CommentText"/>
    <w:link w:val="CommentSubjectChar"/>
    <w:uiPriority w:val="99"/>
    <w:semiHidden/>
    <w:unhideWhenUsed/>
    <w:rsid w:val="00150AC4"/>
    <w:rPr>
      <w:b/>
      <w:bCs/>
    </w:rPr>
  </w:style>
  <w:style w:type="character" w:customStyle="1" w:styleId="CommentSubjectChar">
    <w:name w:val="Comment Subject Char"/>
    <w:basedOn w:val="CommentTextChar"/>
    <w:link w:val="CommentSubject"/>
    <w:uiPriority w:val="99"/>
    <w:semiHidden/>
    <w:rsid w:val="00150AC4"/>
    <w:rPr>
      <w:b/>
      <w:bCs/>
      <w:sz w:val="20"/>
      <w:szCs w:val="20"/>
    </w:rPr>
  </w:style>
  <w:style w:type="paragraph" w:styleId="Revision">
    <w:name w:val="Revision"/>
    <w:hidden/>
    <w:uiPriority w:val="99"/>
    <w:semiHidden/>
    <w:rsid w:val="00001502"/>
    <w:pPr>
      <w:spacing w:after="0" w:line="240" w:lineRule="auto"/>
    </w:pPr>
  </w:style>
  <w:style w:type="character" w:customStyle="1" w:styleId="normaltextrun">
    <w:name w:val="normaltextrun"/>
    <w:basedOn w:val="DefaultParagraphFont"/>
    <w:rsid w:val="00001502"/>
  </w:style>
  <w:style w:type="character" w:styleId="UnresolvedMention">
    <w:name w:val="Unresolved Mention"/>
    <w:basedOn w:val="DefaultParagraphFont"/>
    <w:uiPriority w:val="99"/>
    <w:semiHidden/>
    <w:unhideWhenUsed/>
    <w:rsid w:val="00424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ebherr.com/en/usa/start/start-pag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usa/products/material-handling-equipment/wheel-loaders/details/650367.html"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FC048-CAF1-4984-A584-BBBC1C96F804}">
  <ds:schemaRefs>
    <ds:schemaRef ds:uri="http://schemas.microsoft.com/sharepoint/v3/contenttype/forms"/>
  </ds:schemaRefs>
</ds:datastoreItem>
</file>

<file path=customXml/itemProps2.xml><?xml version="1.0" encoding="utf-8"?>
<ds:datastoreItem xmlns:ds="http://schemas.openxmlformats.org/officeDocument/2006/customXml" ds:itemID="{8A18B9B9-D1AE-4E6A-8359-BDACAF5F39A0}">
  <ds:schemaRefs>
    <ds:schemaRef ds:uri="http://schemas.openxmlformats.org/officeDocument/2006/bibliography"/>
  </ds:schemaRefs>
</ds:datastoreItem>
</file>

<file path=customXml/itemProps3.xml><?xml version="1.0" encoding="utf-8"?>
<ds:datastoreItem xmlns:ds="http://schemas.openxmlformats.org/officeDocument/2006/customXml" ds:itemID="{0F656BD6-F917-4E2A-8E9F-CC0A12D8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FF0BFC-49F5-48DF-AC9C-5D939518FD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1320</Words>
  <Characters>7530</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Shiels James (LUS)</cp:lastModifiedBy>
  <cp:revision>7</cp:revision>
  <cp:lastPrinted>2022-03-21T14:42:00Z</cp:lastPrinted>
  <dcterms:created xsi:type="dcterms:W3CDTF">2023-11-16T16:19:00Z</dcterms:created>
  <dcterms:modified xsi:type="dcterms:W3CDTF">2023-11-28T19:52:00Z</dcterms:modified>
  <cp:category>Presseinformation</cp:category>
</cp:coreProperties>
</file>